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8D" w:rsidRPr="0093282A" w:rsidRDefault="00D8538D" w:rsidP="00D8538D">
      <w:pPr>
        <w:jc w:val="right"/>
        <w:outlineLvl w:val="0"/>
        <w:rPr>
          <w:rFonts w:ascii="Arial" w:hAnsi="Arial" w:cs="Arial"/>
          <w:b/>
        </w:rPr>
      </w:pPr>
    </w:p>
    <w:p w:rsidR="00D8538D" w:rsidRPr="0093282A" w:rsidRDefault="00D8538D" w:rsidP="00D8538D">
      <w:pPr>
        <w:ind w:left="720"/>
        <w:jc w:val="center"/>
        <w:rPr>
          <w:rFonts w:ascii="Arial" w:hAnsi="Arial" w:cs="Arial"/>
          <w:i/>
        </w:rPr>
      </w:pPr>
    </w:p>
    <w:p w:rsidR="00D8538D" w:rsidRPr="0093282A" w:rsidRDefault="00D8538D" w:rsidP="00D8538D">
      <w:pPr>
        <w:jc w:val="center"/>
        <w:outlineLvl w:val="0"/>
        <w:rPr>
          <w:rFonts w:ascii="Arial" w:hAnsi="Arial"/>
        </w:rPr>
      </w:pPr>
      <w:proofErr w:type="gramStart"/>
      <w:r w:rsidRPr="0093282A">
        <w:rPr>
          <w:rFonts w:ascii="Arial" w:hAnsi="Arial"/>
          <w:b/>
        </w:rPr>
        <w:t>BOARD RESOLUTION NO.</w:t>
      </w:r>
      <w:proofErr w:type="gramEnd"/>
      <w:r w:rsidRPr="0093282A">
        <w:rPr>
          <w:rFonts w:ascii="Arial" w:hAnsi="Arial"/>
        </w:rPr>
        <w:t xml:space="preserve"> ________ </w:t>
      </w:r>
    </w:p>
    <w:p w:rsidR="00D8538D" w:rsidRPr="0093282A" w:rsidRDefault="00D8538D" w:rsidP="00D8538D">
      <w:pPr>
        <w:rPr>
          <w:rFonts w:ascii="Arial" w:hAnsi="Arial"/>
        </w:rPr>
      </w:pPr>
    </w:p>
    <w:p w:rsidR="00D8538D" w:rsidRPr="0093282A" w:rsidRDefault="00D8538D" w:rsidP="00D8538D">
      <w:pPr>
        <w:ind w:left="540" w:hanging="540"/>
        <w:jc w:val="both"/>
        <w:rPr>
          <w:rFonts w:ascii="Arial" w:hAnsi="Arial"/>
          <w:b/>
          <w:smallCaps/>
        </w:rPr>
      </w:pPr>
      <w:proofErr w:type="gramStart"/>
      <w:r w:rsidRPr="0093282A">
        <w:rPr>
          <w:rFonts w:ascii="Arial" w:hAnsi="Arial"/>
          <w:b/>
          <w:smallCaps/>
        </w:rPr>
        <w:t xml:space="preserve">Adopting the </w:t>
      </w:r>
      <w:r>
        <w:rPr>
          <w:rFonts w:ascii="Arial" w:hAnsi="Arial"/>
          <w:b/>
          <w:smallCaps/>
        </w:rPr>
        <w:t>CY</w:t>
      </w:r>
      <w:r w:rsidRPr="0093282A">
        <w:rPr>
          <w:rFonts w:ascii="Arial" w:hAnsi="Arial"/>
          <w:b/>
          <w:smallCaps/>
        </w:rPr>
        <w:t xml:space="preserve"> 201</w:t>
      </w:r>
      <w:r w:rsidR="008969B5">
        <w:rPr>
          <w:rFonts w:ascii="Arial" w:hAnsi="Arial"/>
          <w:b/>
          <w:smallCaps/>
        </w:rPr>
        <w:t>4</w:t>
      </w:r>
      <w:r w:rsidRPr="0093282A">
        <w:rPr>
          <w:rFonts w:ascii="Arial" w:hAnsi="Arial"/>
          <w:b/>
          <w:smallCaps/>
        </w:rPr>
        <w:t xml:space="preserve"> Performance-Based </w:t>
      </w:r>
      <w:r>
        <w:rPr>
          <w:rFonts w:ascii="Arial" w:hAnsi="Arial"/>
          <w:b/>
          <w:smallCaps/>
        </w:rPr>
        <w:t>Bonus</w:t>
      </w:r>
      <w:r w:rsidRPr="0093282A">
        <w:rPr>
          <w:rFonts w:ascii="Arial" w:hAnsi="Arial"/>
          <w:b/>
          <w:smallCaps/>
        </w:rPr>
        <w:t xml:space="preserve"> System For </w:t>
      </w:r>
      <w:r w:rsidRPr="00DA7E4E">
        <w:rPr>
          <w:rFonts w:ascii="Arial" w:hAnsi="Arial"/>
          <w:b/>
          <w:smallCaps/>
          <w:highlight w:val="yellow"/>
        </w:rPr>
        <w:t>(name of the GOCC)</w:t>
      </w:r>
      <w:r w:rsidRPr="0093282A">
        <w:rPr>
          <w:rFonts w:ascii="Arial" w:hAnsi="Arial"/>
          <w:b/>
          <w:smallCaps/>
        </w:rPr>
        <w:t xml:space="preserve"> In Accordance With Executive Order No.</w:t>
      </w:r>
      <w:proofErr w:type="gramEnd"/>
      <w:r w:rsidRPr="0093282A">
        <w:rPr>
          <w:rFonts w:ascii="Arial" w:hAnsi="Arial"/>
          <w:b/>
          <w:smallCaps/>
        </w:rPr>
        <w:t xml:space="preserve"> 80, s. 2012 and GCG Memorandum Circular No. </w:t>
      </w:r>
      <w:proofErr w:type="gramStart"/>
      <w:r w:rsidRPr="0093282A">
        <w:rPr>
          <w:rFonts w:ascii="Arial" w:hAnsi="Arial"/>
          <w:b/>
          <w:smallCaps/>
        </w:rPr>
        <w:t>201</w:t>
      </w:r>
      <w:r w:rsidR="008969B5">
        <w:rPr>
          <w:rFonts w:ascii="Arial" w:hAnsi="Arial"/>
          <w:b/>
          <w:smallCaps/>
        </w:rPr>
        <w:t>4</w:t>
      </w:r>
      <w:r w:rsidRPr="0093282A">
        <w:rPr>
          <w:rFonts w:ascii="Arial" w:hAnsi="Arial"/>
          <w:b/>
          <w:smallCaps/>
        </w:rPr>
        <w:t>-</w:t>
      </w:r>
      <w:r w:rsidR="00DA7E4E">
        <w:rPr>
          <w:rFonts w:ascii="Arial" w:hAnsi="Arial"/>
          <w:b/>
          <w:smallCaps/>
        </w:rPr>
        <w:t>05</w:t>
      </w:r>
      <w:r w:rsidRPr="0093282A">
        <w:rPr>
          <w:rFonts w:ascii="Arial" w:hAnsi="Arial"/>
          <w:smallCaps/>
        </w:rPr>
        <w:t>.</w:t>
      </w:r>
      <w:proofErr w:type="gramEnd"/>
    </w:p>
    <w:p w:rsidR="00D8538D" w:rsidRPr="0093282A" w:rsidRDefault="00D8538D" w:rsidP="00D8538D">
      <w:pPr>
        <w:jc w:val="both"/>
        <w:rPr>
          <w:rFonts w:ascii="Arial" w:hAnsi="Arial"/>
          <w:b/>
          <w:color w:val="FF0000"/>
        </w:rPr>
      </w:pPr>
    </w:p>
    <w:p w:rsidR="00D8538D" w:rsidRPr="0093282A" w:rsidRDefault="00D8538D" w:rsidP="00D8538D">
      <w:pPr>
        <w:spacing w:after="200"/>
        <w:ind w:firstLine="547"/>
        <w:jc w:val="both"/>
        <w:rPr>
          <w:rFonts w:ascii="Arial" w:hAnsi="Arial"/>
        </w:rPr>
      </w:pPr>
      <w:r w:rsidRPr="0093282A">
        <w:rPr>
          <w:rFonts w:ascii="Arial" w:hAnsi="Arial"/>
          <w:b/>
        </w:rPr>
        <w:t>WHEREAS</w:t>
      </w:r>
      <w:r w:rsidRPr="0093282A">
        <w:rPr>
          <w:rFonts w:ascii="Arial" w:hAnsi="Arial"/>
        </w:rPr>
        <w:t>, on 20 July 2012, President BENIGNO S. AQUINO III issued Executive Order (E.O.) No. 80, s. 2012, which directed the Governance Commission for GOCCs (GCG) to issue the necessary guidelines for the Performance-Based Incentive(PBI)System of GOCCs under GCG’s jurisdiction;</w:t>
      </w:r>
    </w:p>
    <w:p w:rsidR="00D8538D" w:rsidRPr="0093282A" w:rsidRDefault="00D8538D" w:rsidP="00D8538D">
      <w:pPr>
        <w:spacing w:after="200"/>
        <w:ind w:firstLine="547"/>
        <w:jc w:val="both"/>
        <w:rPr>
          <w:rFonts w:ascii="Arial" w:hAnsi="Arial"/>
        </w:rPr>
      </w:pPr>
      <w:r w:rsidRPr="0093282A">
        <w:rPr>
          <w:rFonts w:ascii="Arial" w:hAnsi="Arial"/>
          <w:b/>
        </w:rPr>
        <w:t>WHEREAS</w:t>
      </w:r>
      <w:r w:rsidRPr="0093282A">
        <w:rPr>
          <w:rFonts w:ascii="Arial" w:hAnsi="Arial"/>
        </w:rPr>
        <w:t>, GCG Memora</w:t>
      </w:r>
      <w:r>
        <w:rPr>
          <w:rFonts w:ascii="Arial" w:hAnsi="Arial"/>
        </w:rPr>
        <w:t>ndum Circular (M.C.) No. 201</w:t>
      </w:r>
      <w:r w:rsidR="008969B5">
        <w:rPr>
          <w:rFonts w:ascii="Arial" w:hAnsi="Arial"/>
        </w:rPr>
        <w:t>4</w:t>
      </w:r>
      <w:r>
        <w:rPr>
          <w:rFonts w:ascii="Arial" w:hAnsi="Arial"/>
        </w:rPr>
        <w:t>-</w:t>
      </w:r>
      <w:r w:rsidR="00DA7E4E">
        <w:rPr>
          <w:rFonts w:ascii="Arial" w:hAnsi="Arial"/>
        </w:rPr>
        <w:t>05</w:t>
      </w:r>
      <w:r w:rsidRPr="0093282A">
        <w:rPr>
          <w:rFonts w:ascii="Arial" w:hAnsi="Arial"/>
        </w:rPr>
        <w:t xml:space="preserve"> established the rules and regulations for the Interim Performance-Based Bonus (PBB) System for Qualified Officers and Employees of GOCCs covered by GCG pursuant to</w:t>
      </w:r>
      <w:r>
        <w:rPr>
          <w:rFonts w:ascii="Arial" w:hAnsi="Arial"/>
        </w:rPr>
        <w:t xml:space="preserve"> the</w:t>
      </w:r>
      <w:r w:rsidRPr="0093282A">
        <w:rPr>
          <w:rFonts w:ascii="Arial" w:hAnsi="Arial"/>
        </w:rPr>
        <w:t xml:space="preserve"> “</w:t>
      </w:r>
      <w:r w:rsidRPr="0093282A">
        <w:rPr>
          <w:rFonts w:ascii="Arial" w:hAnsi="Arial"/>
          <w:i/>
        </w:rPr>
        <w:t>GOCC Governance Act of 2011</w:t>
      </w:r>
      <w:r w:rsidRPr="0093282A">
        <w:rPr>
          <w:rFonts w:ascii="Arial" w:hAnsi="Arial"/>
        </w:rPr>
        <w:t>” (R.A. No. 10149);</w:t>
      </w:r>
    </w:p>
    <w:p w:rsidR="00D8538D" w:rsidRPr="0093282A" w:rsidRDefault="00D8538D" w:rsidP="00D8538D">
      <w:pPr>
        <w:spacing w:after="200"/>
        <w:ind w:firstLine="547"/>
        <w:jc w:val="both"/>
        <w:rPr>
          <w:rFonts w:ascii="Arial" w:hAnsi="Arial"/>
        </w:rPr>
      </w:pPr>
      <w:r w:rsidRPr="0093282A">
        <w:rPr>
          <w:rFonts w:ascii="Arial" w:hAnsi="Arial"/>
          <w:b/>
        </w:rPr>
        <w:t>WHEREAS</w:t>
      </w:r>
      <w:r w:rsidRPr="0093282A">
        <w:rPr>
          <w:rFonts w:ascii="Arial" w:hAnsi="Arial"/>
        </w:rPr>
        <w:t>,</w:t>
      </w:r>
      <w:r>
        <w:rPr>
          <w:rFonts w:ascii="Arial" w:hAnsi="Arial"/>
        </w:rPr>
        <w:t xml:space="preserve"> </w:t>
      </w:r>
      <w:r w:rsidRPr="0093282A">
        <w:rPr>
          <w:rFonts w:ascii="Arial" w:hAnsi="Arial"/>
        </w:rPr>
        <w:t xml:space="preserve">subject to further evaluation by GCG, </w:t>
      </w:r>
      <w:r>
        <w:rPr>
          <w:rFonts w:ascii="Arial" w:hAnsi="Arial"/>
        </w:rPr>
        <w:t>[</w:t>
      </w:r>
      <w:r w:rsidRPr="00DA7E4E">
        <w:rPr>
          <w:rFonts w:ascii="Arial" w:hAnsi="Arial"/>
          <w:highlight w:val="yellow"/>
        </w:rPr>
        <w:t>GOCC Acronym]</w:t>
      </w:r>
      <w:r w:rsidRPr="0093282A">
        <w:rPr>
          <w:rFonts w:ascii="Arial" w:hAnsi="Arial"/>
        </w:rPr>
        <w:t xml:space="preserve"> has attained a weighted-average of </w:t>
      </w:r>
      <w:r w:rsidRPr="00DA7E4E">
        <w:rPr>
          <w:rFonts w:ascii="Arial" w:hAnsi="Arial"/>
          <w:highlight w:val="yellow"/>
        </w:rPr>
        <w:t>_</w:t>
      </w:r>
      <w:r w:rsidRPr="0093282A">
        <w:rPr>
          <w:rFonts w:ascii="Arial" w:hAnsi="Arial"/>
        </w:rPr>
        <w:t xml:space="preserve">% based on its Performance </w:t>
      </w:r>
      <w:r w:rsidR="008969B5">
        <w:rPr>
          <w:rFonts w:ascii="Arial" w:hAnsi="Arial"/>
        </w:rPr>
        <w:t>Scorecard</w:t>
      </w:r>
      <w:r w:rsidRPr="0093282A">
        <w:rPr>
          <w:rFonts w:ascii="Arial" w:hAnsi="Arial"/>
        </w:rPr>
        <w:t xml:space="preserve"> for 201</w:t>
      </w:r>
      <w:r w:rsidR="008969B5">
        <w:rPr>
          <w:rFonts w:ascii="Arial" w:hAnsi="Arial"/>
        </w:rPr>
        <w:t>4</w:t>
      </w:r>
      <w:r w:rsidRPr="0093282A">
        <w:rPr>
          <w:rFonts w:ascii="Arial" w:hAnsi="Arial"/>
        </w:rPr>
        <w:t>, and has complied with all Good Governance Conditions, pursuant to GCG MC No. 201</w:t>
      </w:r>
      <w:r w:rsidR="008969B5">
        <w:rPr>
          <w:rFonts w:ascii="Arial" w:hAnsi="Arial"/>
        </w:rPr>
        <w:t>4</w:t>
      </w:r>
      <w:r w:rsidRPr="0093282A">
        <w:rPr>
          <w:rFonts w:ascii="Arial" w:hAnsi="Arial"/>
        </w:rPr>
        <w:t>-</w:t>
      </w:r>
      <w:r w:rsidR="00DA7E4E">
        <w:rPr>
          <w:rFonts w:ascii="Arial" w:hAnsi="Arial"/>
        </w:rPr>
        <w:t>05</w:t>
      </w:r>
      <w:r w:rsidRPr="0093282A">
        <w:rPr>
          <w:rFonts w:ascii="Arial" w:hAnsi="Arial"/>
        </w:rPr>
        <w:t>;</w:t>
      </w:r>
    </w:p>
    <w:p w:rsidR="00D8538D" w:rsidRPr="0093282A" w:rsidRDefault="00D8538D" w:rsidP="00D8538D">
      <w:pPr>
        <w:spacing w:after="200"/>
        <w:ind w:firstLine="547"/>
        <w:jc w:val="both"/>
        <w:rPr>
          <w:rFonts w:ascii="Arial" w:hAnsi="Arial"/>
        </w:rPr>
      </w:pPr>
      <w:r w:rsidRPr="0093282A">
        <w:rPr>
          <w:rFonts w:ascii="Arial" w:hAnsi="Arial"/>
          <w:b/>
        </w:rPr>
        <w:t>WHEREAS</w:t>
      </w:r>
      <w:r w:rsidRPr="0093282A">
        <w:rPr>
          <w:rFonts w:ascii="Arial" w:hAnsi="Arial"/>
        </w:rPr>
        <w:t>, based on the guidelines in GCG MC No. 201</w:t>
      </w:r>
      <w:r w:rsidR="008969B5">
        <w:rPr>
          <w:rFonts w:ascii="Arial" w:hAnsi="Arial"/>
        </w:rPr>
        <w:t>4</w:t>
      </w:r>
      <w:r w:rsidRPr="0093282A">
        <w:rPr>
          <w:rFonts w:ascii="Arial" w:hAnsi="Arial"/>
        </w:rPr>
        <w:t>-</w:t>
      </w:r>
      <w:r w:rsidR="00DA7E4E">
        <w:rPr>
          <w:rFonts w:ascii="Arial" w:hAnsi="Arial"/>
        </w:rPr>
        <w:t>05</w:t>
      </w:r>
      <w:r>
        <w:rPr>
          <w:rFonts w:ascii="Arial" w:hAnsi="Arial"/>
        </w:rPr>
        <w:t xml:space="preserve">, </w:t>
      </w:r>
      <w:r w:rsidRPr="00DA7E4E">
        <w:rPr>
          <w:rFonts w:ascii="Arial" w:hAnsi="Arial"/>
          <w:highlight w:val="yellow"/>
        </w:rPr>
        <w:t>[GOCC Acronym]</w:t>
      </w:r>
      <w:r w:rsidRPr="0093282A">
        <w:rPr>
          <w:rFonts w:ascii="Arial" w:hAnsi="Arial"/>
        </w:rPr>
        <w:t xml:space="preserve"> is a </w:t>
      </w:r>
      <w:r w:rsidR="0094495B">
        <w:rPr>
          <w:rFonts w:ascii="Arial" w:hAnsi="Arial"/>
        </w:rPr>
        <w:t>Profitable</w:t>
      </w:r>
      <w:r w:rsidR="00DA7E4E">
        <w:rPr>
          <w:rFonts w:ascii="Arial" w:hAnsi="Arial"/>
        </w:rPr>
        <w:t xml:space="preserve"> </w:t>
      </w:r>
      <w:r w:rsidRPr="0093282A">
        <w:rPr>
          <w:rFonts w:ascii="Arial" w:hAnsi="Arial"/>
        </w:rPr>
        <w:t>GOCC;</w:t>
      </w:r>
    </w:p>
    <w:p w:rsidR="00D8538D" w:rsidRPr="0093282A" w:rsidRDefault="00D8538D" w:rsidP="00D8538D">
      <w:pPr>
        <w:spacing w:after="200"/>
        <w:ind w:firstLine="547"/>
        <w:jc w:val="both"/>
        <w:rPr>
          <w:rFonts w:ascii="Arial" w:hAnsi="Arial" w:cs="Arial"/>
        </w:rPr>
      </w:pPr>
      <w:r w:rsidRPr="0093282A">
        <w:rPr>
          <w:rFonts w:ascii="Arial" w:hAnsi="Arial"/>
          <w:b/>
        </w:rPr>
        <w:t>WHEREAS</w:t>
      </w:r>
      <w:r>
        <w:rPr>
          <w:rFonts w:ascii="Arial" w:hAnsi="Arial"/>
        </w:rPr>
        <w:t>, E.O.</w:t>
      </w:r>
      <w:r w:rsidRPr="0093282A">
        <w:rPr>
          <w:rFonts w:ascii="Arial" w:hAnsi="Arial"/>
        </w:rPr>
        <w:t xml:space="preserve"> No. 80 requires that </w:t>
      </w:r>
      <w:r w:rsidRPr="0093282A">
        <w:rPr>
          <w:rFonts w:ascii="Arial" w:hAnsi="Arial" w:cs="Arial"/>
        </w:rPr>
        <w:t>the funds for the grant of PBB in GOCCs shall be charged against their respective corporate funds, subject to the approval of their respective governing boards; and</w:t>
      </w:r>
    </w:p>
    <w:p w:rsidR="00D8538D" w:rsidRPr="0093282A" w:rsidRDefault="00D8538D" w:rsidP="00D8538D">
      <w:pPr>
        <w:spacing w:after="200"/>
        <w:ind w:firstLine="547"/>
        <w:jc w:val="both"/>
        <w:rPr>
          <w:rFonts w:ascii="Arial" w:hAnsi="Arial" w:cs="Arial"/>
        </w:rPr>
      </w:pPr>
      <w:proofErr w:type="gramStart"/>
      <w:r w:rsidRPr="0093282A">
        <w:rPr>
          <w:rFonts w:ascii="Arial" w:hAnsi="Arial" w:cs="Arial"/>
          <w:b/>
        </w:rPr>
        <w:t>WHEREAS</w:t>
      </w:r>
      <w:r w:rsidRPr="0093282A">
        <w:rPr>
          <w:rFonts w:ascii="Arial" w:hAnsi="Arial" w:cs="Arial"/>
        </w:rPr>
        <w:t xml:space="preserve">, no other performance-based incentive or its equivalent has been granted to the Officers and Employees </w:t>
      </w:r>
      <w:r w:rsidR="00363369">
        <w:rPr>
          <w:rFonts w:ascii="Arial" w:hAnsi="Arial" w:cs="Arial"/>
        </w:rPr>
        <w:t xml:space="preserve">of </w:t>
      </w:r>
      <w:r w:rsidR="00363369" w:rsidRPr="00DA7E4E">
        <w:rPr>
          <w:rFonts w:ascii="Arial" w:hAnsi="Arial" w:cs="Arial"/>
          <w:highlight w:val="yellow"/>
        </w:rPr>
        <w:t>[GOCC Acronym]</w:t>
      </w:r>
      <w:r w:rsidR="00363369">
        <w:rPr>
          <w:rFonts w:ascii="Arial" w:hAnsi="Arial" w:cs="Arial"/>
        </w:rPr>
        <w:t xml:space="preserve"> </w:t>
      </w:r>
      <w:r w:rsidRPr="0093282A">
        <w:rPr>
          <w:rFonts w:ascii="Arial" w:hAnsi="Arial" w:cs="Arial"/>
        </w:rPr>
        <w:t>for CY 201</w:t>
      </w:r>
      <w:r w:rsidR="00363369">
        <w:rPr>
          <w:rFonts w:ascii="Arial" w:hAnsi="Arial" w:cs="Arial"/>
        </w:rPr>
        <w:t>4</w:t>
      </w:r>
      <w:r w:rsidRPr="0093282A">
        <w:rPr>
          <w:rFonts w:ascii="Arial" w:hAnsi="Arial" w:cs="Arial"/>
        </w:rPr>
        <w:t>.</w:t>
      </w:r>
      <w:proofErr w:type="gramEnd"/>
    </w:p>
    <w:p w:rsidR="00D8538D" w:rsidRPr="0093282A" w:rsidRDefault="00D8538D" w:rsidP="00D8538D">
      <w:pPr>
        <w:spacing w:before="360" w:after="360"/>
        <w:ind w:firstLine="547"/>
        <w:jc w:val="both"/>
        <w:rPr>
          <w:rFonts w:ascii="Arial" w:hAnsi="Arial"/>
          <w:b/>
        </w:rPr>
      </w:pPr>
      <w:r w:rsidRPr="0093282A">
        <w:rPr>
          <w:rFonts w:ascii="Arial" w:hAnsi="Arial"/>
          <w:b/>
        </w:rPr>
        <w:t xml:space="preserve">BE IT – </w:t>
      </w:r>
    </w:p>
    <w:p w:rsidR="00D8538D" w:rsidRPr="0093282A" w:rsidRDefault="00D8538D" w:rsidP="00D8538D">
      <w:pPr>
        <w:spacing w:after="200"/>
        <w:ind w:firstLine="547"/>
        <w:jc w:val="both"/>
        <w:rPr>
          <w:rFonts w:ascii="Arial" w:hAnsi="Arial"/>
        </w:rPr>
      </w:pPr>
      <w:r w:rsidRPr="0093282A">
        <w:rPr>
          <w:rFonts w:ascii="Arial" w:hAnsi="Arial"/>
          <w:b/>
        </w:rPr>
        <w:t>RESOLVED</w:t>
      </w:r>
      <w:r w:rsidRPr="0093282A">
        <w:rPr>
          <w:rFonts w:ascii="Arial" w:hAnsi="Arial"/>
        </w:rPr>
        <w:t>, the Board hereby</w:t>
      </w:r>
      <w:r w:rsidR="008969B5">
        <w:rPr>
          <w:rFonts w:ascii="Arial" w:hAnsi="Arial"/>
        </w:rPr>
        <w:t xml:space="preserve"> </w:t>
      </w:r>
      <w:r w:rsidRPr="0093282A">
        <w:rPr>
          <w:rFonts w:ascii="Arial" w:hAnsi="Arial"/>
          <w:b/>
        </w:rPr>
        <w:t>APPROVES</w:t>
      </w:r>
      <w:r w:rsidRPr="0093282A">
        <w:rPr>
          <w:rFonts w:ascii="Arial" w:hAnsi="Arial"/>
        </w:rPr>
        <w:t xml:space="preserve"> the following:</w:t>
      </w:r>
    </w:p>
    <w:p w:rsidR="00D8538D" w:rsidRPr="0093282A" w:rsidRDefault="00D8538D" w:rsidP="00D8538D">
      <w:pPr>
        <w:numPr>
          <w:ilvl w:val="0"/>
          <w:numId w:val="1"/>
        </w:numPr>
        <w:spacing w:after="120"/>
        <w:ind w:left="900"/>
        <w:jc w:val="both"/>
        <w:rPr>
          <w:rFonts w:ascii="Arial" w:hAnsi="Arial"/>
        </w:rPr>
      </w:pPr>
      <w:r w:rsidRPr="0093282A">
        <w:rPr>
          <w:rFonts w:ascii="Arial" w:hAnsi="Arial"/>
        </w:rPr>
        <w:t>Application for authorization from GCG to grant the 201</w:t>
      </w:r>
      <w:r w:rsidR="00363369">
        <w:rPr>
          <w:rFonts w:ascii="Arial" w:hAnsi="Arial"/>
        </w:rPr>
        <w:t>4</w:t>
      </w:r>
      <w:r w:rsidRPr="0093282A">
        <w:rPr>
          <w:rFonts w:ascii="Arial" w:hAnsi="Arial"/>
        </w:rPr>
        <w:t xml:space="preserve"> PBB, which consists of: </w:t>
      </w:r>
    </w:p>
    <w:p w:rsidR="00D8538D" w:rsidRPr="0093282A" w:rsidRDefault="00D8538D" w:rsidP="00D8538D">
      <w:pPr>
        <w:numPr>
          <w:ilvl w:val="0"/>
          <w:numId w:val="2"/>
        </w:numPr>
        <w:spacing w:after="120"/>
        <w:ind w:left="1440" w:right="380"/>
        <w:jc w:val="both"/>
        <w:rPr>
          <w:rFonts w:ascii="Arial" w:hAnsi="Arial"/>
        </w:rPr>
      </w:pPr>
      <w:r w:rsidRPr="0093282A">
        <w:rPr>
          <w:rFonts w:ascii="Arial" w:hAnsi="Arial"/>
        </w:rPr>
        <w:t>Productivity Enhancement Incentive (PEI)</w:t>
      </w:r>
      <w:r w:rsidR="00476B6B">
        <w:rPr>
          <w:rFonts w:ascii="Arial" w:hAnsi="Arial"/>
        </w:rPr>
        <w:t xml:space="preserve"> </w:t>
      </w:r>
      <w:r w:rsidRPr="0093282A">
        <w:rPr>
          <w:rFonts w:ascii="Arial" w:hAnsi="Arial"/>
        </w:rPr>
        <w:t xml:space="preserve">amounting to </w:t>
      </w:r>
      <w:r w:rsidRPr="0093282A">
        <w:rPr>
          <w:rFonts w:ascii="Arial" w:hAnsi="Arial"/>
          <w:dstrike/>
        </w:rPr>
        <w:t>P</w:t>
      </w:r>
      <w:r w:rsidRPr="0093282A">
        <w:rPr>
          <w:rFonts w:ascii="Arial" w:hAnsi="Arial"/>
        </w:rPr>
        <w:t>5,000, which shall be granted across-the-board; and</w:t>
      </w:r>
    </w:p>
    <w:p w:rsidR="00D8538D" w:rsidRPr="0093282A" w:rsidRDefault="00D8538D" w:rsidP="00D8538D">
      <w:pPr>
        <w:numPr>
          <w:ilvl w:val="0"/>
          <w:numId w:val="2"/>
        </w:numPr>
        <w:spacing w:after="120"/>
        <w:ind w:left="1440" w:right="380"/>
        <w:jc w:val="both"/>
        <w:rPr>
          <w:rFonts w:ascii="Arial" w:hAnsi="Arial"/>
        </w:rPr>
      </w:pPr>
      <w:r w:rsidRPr="0093282A">
        <w:rPr>
          <w:rFonts w:ascii="Arial" w:hAnsi="Arial"/>
        </w:rPr>
        <w:t xml:space="preserve">PBB for Qualified Officers and Employees based on their Percentile Ranking within their respective </w:t>
      </w:r>
      <w:r>
        <w:rPr>
          <w:rFonts w:ascii="Arial" w:hAnsi="Arial"/>
        </w:rPr>
        <w:t>levels</w:t>
      </w:r>
      <w:r w:rsidRPr="0093282A">
        <w:rPr>
          <w:rFonts w:ascii="Arial" w:hAnsi="Arial"/>
        </w:rPr>
        <w:t xml:space="preserve">, and the applicable </w:t>
      </w:r>
      <w:r w:rsidR="0094495B">
        <w:rPr>
          <w:rFonts w:ascii="Arial" w:hAnsi="Arial"/>
        </w:rPr>
        <w:t>multiple</w:t>
      </w:r>
      <w:r w:rsidRPr="0093282A">
        <w:rPr>
          <w:rFonts w:ascii="Arial" w:hAnsi="Arial"/>
        </w:rPr>
        <w:t>.</w:t>
      </w:r>
    </w:p>
    <w:p w:rsidR="00D8538D" w:rsidRPr="0093282A" w:rsidRDefault="00D8538D" w:rsidP="00D8538D">
      <w:pPr>
        <w:numPr>
          <w:ilvl w:val="0"/>
          <w:numId w:val="1"/>
        </w:numPr>
        <w:spacing w:after="200"/>
        <w:ind w:left="907"/>
        <w:jc w:val="both"/>
        <w:rPr>
          <w:rFonts w:ascii="Arial" w:hAnsi="Arial"/>
        </w:rPr>
      </w:pPr>
      <w:r w:rsidRPr="0093282A">
        <w:rPr>
          <w:rFonts w:ascii="Arial" w:hAnsi="Arial"/>
        </w:rPr>
        <w:t xml:space="preserve">Allocation of an amount not exceeding </w:t>
      </w:r>
      <w:r w:rsidRPr="00DA7E4E">
        <w:rPr>
          <w:rFonts w:ascii="Arial" w:hAnsi="Arial"/>
          <w:highlight w:val="yellow"/>
        </w:rPr>
        <w:t>[</w:t>
      </w:r>
      <w:r w:rsidRPr="00DA7E4E">
        <w:rPr>
          <w:rFonts w:ascii="Arial" w:hAnsi="Arial"/>
          <w:b/>
          <w:smallCaps/>
          <w:highlight w:val="yellow"/>
        </w:rPr>
        <w:t>amount in words based on 201</w:t>
      </w:r>
      <w:r w:rsidR="00DA7E4E" w:rsidRPr="00DA7E4E">
        <w:rPr>
          <w:rFonts w:ascii="Arial" w:hAnsi="Arial"/>
          <w:b/>
          <w:smallCaps/>
          <w:highlight w:val="yellow"/>
        </w:rPr>
        <w:t>4</w:t>
      </w:r>
      <w:r w:rsidRPr="00DA7E4E">
        <w:rPr>
          <w:rFonts w:ascii="Arial" w:hAnsi="Arial"/>
          <w:b/>
          <w:smallCaps/>
          <w:highlight w:val="yellow"/>
        </w:rPr>
        <w:t xml:space="preserve"> PBB Form 3</w:t>
      </w:r>
      <w:r w:rsidRPr="00DA7E4E">
        <w:rPr>
          <w:rFonts w:ascii="Arial" w:hAnsi="Arial"/>
          <w:highlight w:val="yellow"/>
        </w:rPr>
        <w:t>]</w:t>
      </w:r>
      <w:r w:rsidRPr="0093282A">
        <w:rPr>
          <w:rFonts w:ascii="Arial" w:hAnsi="Arial"/>
        </w:rPr>
        <w:t xml:space="preserve"> </w:t>
      </w:r>
      <w:r w:rsidRPr="00DA7E4E">
        <w:rPr>
          <w:rFonts w:ascii="Arial" w:hAnsi="Arial"/>
          <w:highlight w:val="yellow"/>
        </w:rPr>
        <w:t>(</w:t>
      </w:r>
      <w:r w:rsidRPr="00DA7E4E">
        <w:rPr>
          <w:rFonts w:ascii="Arial" w:hAnsi="Arial"/>
          <w:dstrike/>
          <w:highlight w:val="yellow"/>
        </w:rPr>
        <w:t>P</w:t>
      </w:r>
      <w:r w:rsidRPr="00DA7E4E">
        <w:rPr>
          <w:rFonts w:ascii="Arial" w:hAnsi="Arial"/>
          <w:highlight w:val="yellow"/>
        </w:rPr>
        <w:t>_)</w:t>
      </w:r>
      <w:r w:rsidRPr="0093282A">
        <w:rPr>
          <w:rFonts w:ascii="Arial" w:hAnsi="Arial"/>
        </w:rPr>
        <w:t xml:space="preserve">, chargeable against corporate funds, for the grant of the </w:t>
      </w:r>
      <w:r>
        <w:rPr>
          <w:rFonts w:ascii="Arial" w:hAnsi="Arial"/>
        </w:rPr>
        <w:t>CY</w:t>
      </w:r>
      <w:r w:rsidRPr="0093282A">
        <w:rPr>
          <w:rFonts w:ascii="Arial" w:hAnsi="Arial"/>
        </w:rPr>
        <w:t xml:space="preserve"> 201</w:t>
      </w:r>
      <w:r w:rsidR="00363369">
        <w:rPr>
          <w:rFonts w:ascii="Arial" w:hAnsi="Arial"/>
        </w:rPr>
        <w:t xml:space="preserve">4 </w:t>
      </w:r>
      <w:r w:rsidRPr="0093282A">
        <w:rPr>
          <w:rFonts w:ascii="Arial" w:hAnsi="Arial"/>
        </w:rPr>
        <w:t xml:space="preserve">PBB to </w:t>
      </w:r>
      <w:r>
        <w:rPr>
          <w:rFonts w:ascii="Arial" w:hAnsi="Arial"/>
        </w:rPr>
        <w:t>q</w:t>
      </w:r>
      <w:r w:rsidRPr="0093282A">
        <w:rPr>
          <w:rFonts w:ascii="Arial" w:hAnsi="Arial"/>
        </w:rPr>
        <w:t>ualified</w:t>
      </w:r>
      <w:r w:rsidR="00363369">
        <w:rPr>
          <w:rFonts w:ascii="Arial" w:hAnsi="Arial"/>
        </w:rPr>
        <w:t xml:space="preserve"> </w:t>
      </w:r>
      <w:r w:rsidRPr="0093282A">
        <w:rPr>
          <w:rFonts w:ascii="Arial" w:hAnsi="Arial"/>
        </w:rPr>
        <w:t>Officers and Employees;</w:t>
      </w:r>
      <w:r w:rsidR="00363369">
        <w:rPr>
          <w:rFonts w:ascii="Arial" w:hAnsi="Arial"/>
        </w:rPr>
        <w:t xml:space="preserve"> </w:t>
      </w:r>
      <w:r w:rsidRPr="0093282A">
        <w:rPr>
          <w:rFonts w:ascii="Arial" w:hAnsi="Arial"/>
          <w:i/>
        </w:rPr>
        <w:t>Provided</w:t>
      </w:r>
      <w:r w:rsidRPr="0093282A">
        <w:rPr>
          <w:rFonts w:ascii="Arial" w:hAnsi="Arial"/>
        </w:rPr>
        <w:t xml:space="preserve">, the grant of the </w:t>
      </w:r>
      <w:r>
        <w:rPr>
          <w:rFonts w:ascii="Arial" w:hAnsi="Arial"/>
        </w:rPr>
        <w:t>CY</w:t>
      </w:r>
      <w:r w:rsidR="00363369">
        <w:rPr>
          <w:rFonts w:ascii="Arial" w:hAnsi="Arial"/>
        </w:rPr>
        <w:t xml:space="preserve"> 2014 </w:t>
      </w:r>
      <w:r w:rsidRPr="0093282A">
        <w:rPr>
          <w:rFonts w:ascii="Arial" w:hAnsi="Arial"/>
        </w:rPr>
        <w:t xml:space="preserve">PBB is subject to the approval and/or adjustment by the GCG. </w:t>
      </w:r>
    </w:p>
    <w:p w:rsidR="00D8538D" w:rsidRPr="0093282A" w:rsidRDefault="00D8538D" w:rsidP="00D8538D">
      <w:pPr>
        <w:numPr>
          <w:ilvl w:val="0"/>
          <w:numId w:val="1"/>
        </w:numPr>
        <w:ind w:left="900"/>
        <w:jc w:val="both"/>
        <w:rPr>
          <w:rFonts w:ascii="Arial" w:hAnsi="Arial"/>
        </w:rPr>
      </w:pPr>
      <w:r w:rsidRPr="0093282A">
        <w:rPr>
          <w:rFonts w:ascii="Arial" w:hAnsi="Arial"/>
        </w:rPr>
        <w:t>Authorization of the Chairperson of the Governing Board, the Chief Executive Officer,</w:t>
      </w:r>
      <w:r w:rsidR="00363369">
        <w:rPr>
          <w:rFonts w:ascii="Arial" w:hAnsi="Arial"/>
        </w:rPr>
        <w:t xml:space="preserve"> </w:t>
      </w:r>
      <w:r w:rsidRPr="0093282A">
        <w:rPr>
          <w:rFonts w:ascii="Arial" w:hAnsi="Arial"/>
        </w:rPr>
        <w:t xml:space="preserve">Heads of Finance and Planning or their equivalent in </w:t>
      </w:r>
      <w:r w:rsidRPr="0093282A">
        <w:rPr>
          <w:rFonts w:ascii="Arial" w:hAnsi="Arial"/>
        </w:rPr>
        <w:lastRenderedPageBreak/>
        <w:t>authority and area of responsibility, Chairperson of the Bids and Awards Committee and other Officers concerned, to certify and attest under oath to the veracity of all information disclosed in the submitted documents required in GCG MC No. 201</w:t>
      </w:r>
      <w:r w:rsidR="00363369">
        <w:rPr>
          <w:rFonts w:ascii="Arial" w:hAnsi="Arial"/>
        </w:rPr>
        <w:t>4</w:t>
      </w:r>
      <w:r w:rsidRPr="0093282A">
        <w:rPr>
          <w:rFonts w:ascii="Arial" w:hAnsi="Arial"/>
        </w:rPr>
        <w:t>-</w:t>
      </w:r>
      <w:r w:rsidR="00DA7E4E">
        <w:rPr>
          <w:rFonts w:ascii="Arial" w:hAnsi="Arial"/>
        </w:rPr>
        <w:t>05</w:t>
      </w:r>
      <w:r w:rsidRPr="0093282A">
        <w:rPr>
          <w:rFonts w:ascii="Arial" w:hAnsi="Arial"/>
        </w:rPr>
        <w:t xml:space="preserve"> and such other documents that may be required by GCG.</w:t>
      </w:r>
    </w:p>
    <w:p w:rsidR="00D8538D" w:rsidRPr="0093282A" w:rsidRDefault="00D8538D" w:rsidP="00D8538D">
      <w:pPr>
        <w:jc w:val="both"/>
        <w:rPr>
          <w:rFonts w:ascii="Arial" w:hAnsi="Arial"/>
        </w:rPr>
      </w:pPr>
    </w:p>
    <w:p w:rsidR="00D8538D" w:rsidRPr="0093282A" w:rsidRDefault="00D8538D" w:rsidP="00D8538D">
      <w:pPr>
        <w:ind w:left="540"/>
        <w:jc w:val="both"/>
        <w:rPr>
          <w:rFonts w:ascii="Arial" w:hAnsi="Arial" w:cs="Arial"/>
        </w:rPr>
      </w:pPr>
      <w:proofErr w:type="gramStart"/>
      <w:r w:rsidRPr="0093282A">
        <w:rPr>
          <w:rFonts w:ascii="Arial" w:hAnsi="Arial" w:cs="Arial"/>
          <w:b/>
        </w:rPr>
        <w:t xml:space="preserve">DONE, </w:t>
      </w:r>
      <w:r w:rsidRPr="0093282A">
        <w:rPr>
          <w:rFonts w:ascii="Arial" w:hAnsi="Arial" w:cs="Arial"/>
        </w:rPr>
        <w:t xml:space="preserve">this </w:t>
      </w:r>
      <w:r w:rsidRPr="00DA7E4E">
        <w:rPr>
          <w:rFonts w:ascii="Arial" w:hAnsi="Arial" w:cs="Arial"/>
          <w:highlight w:val="yellow"/>
        </w:rPr>
        <w:t>___</w:t>
      </w:r>
      <w:r w:rsidRPr="0093282A">
        <w:rPr>
          <w:rFonts w:ascii="Arial" w:hAnsi="Arial" w:cs="Arial"/>
        </w:rPr>
        <w:t xml:space="preserve"> day of </w:t>
      </w:r>
      <w:r w:rsidRPr="00DA7E4E">
        <w:rPr>
          <w:rFonts w:ascii="Arial" w:hAnsi="Arial" w:cs="Arial"/>
          <w:highlight w:val="yellow"/>
        </w:rPr>
        <w:t>[month]</w:t>
      </w:r>
      <w:r>
        <w:rPr>
          <w:rFonts w:ascii="Arial" w:hAnsi="Arial" w:cs="Arial"/>
        </w:rPr>
        <w:t xml:space="preserve"> 201</w:t>
      </w:r>
      <w:r w:rsidR="00363369">
        <w:rPr>
          <w:rFonts w:ascii="Arial" w:hAnsi="Arial" w:cs="Arial"/>
        </w:rPr>
        <w:t>5</w:t>
      </w:r>
      <w:r w:rsidRPr="0093282A">
        <w:rPr>
          <w:rFonts w:ascii="Arial" w:hAnsi="Arial" w:cs="Arial"/>
        </w:rPr>
        <w:t xml:space="preserve">, in </w:t>
      </w:r>
      <w:r w:rsidRPr="00DA7E4E">
        <w:rPr>
          <w:rFonts w:ascii="Arial" w:hAnsi="Arial" w:cs="Arial"/>
          <w:highlight w:val="yellow"/>
        </w:rPr>
        <w:t>[city]</w:t>
      </w:r>
      <w:r w:rsidRPr="0093282A">
        <w:rPr>
          <w:rFonts w:ascii="Arial" w:hAnsi="Arial" w:cs="Arial"/>
        </w:rPr>
        <w:t>, Philippines.</w:t>
      </w:r>
      <w:proofErr w:type="gramEnd"/>
    </w:p>
    <w:p w:rsidR="00D8538D" w:rsidRPr="00DA7E4E" w:rsidRDefault="00D8538D" w:rsidP="00D8538D">
      <w:pPr>
        <w:spacing w:before="360"/>
        <w:jc w:val="both"/>
        <w:rPr>
          <w:rFonts w:ascii="Arial" w:hAnsi="Arial"/>
          <w:i/>
        </w:rPr>
      </w:pPr>
      <w:r w:rsidRPr="00DA7E4E">
        <w:rPr>
          <w:rFonts w:ascii="Arial" w:hAnsi="Arial"/>
          <w:i/>
          <w:highlight w:val="yellow"/>
        </w:rPr>
        <w:t>To be signed by all Members of the Governing Board</w:t>
      </w:r>
    </w:p>
    <w:p w:rsidR="00D8538D" w:rsidRDefault="00D8538D" w:rsidP="00D8538D"/>
    <w:p w:rsidR="00DA7E4E" w:rsidRDefault="00DA7E4E" w:rsidP="00D8538D"/>
    <w:p w:rsidR="00DA7E4E" w:rsidRPr="00F562A6" w:rsidRDefault="00DA7E4E" w:rsidP="00DA7E4E">
      <w:pPr>
        <w:pStyle w:val="ListParagraph"/>
        <w:spacing w:after="120"/>
        <w:ind w:left="0"/>
        <w:jc w:val="both"/>
        <w:rPr>
          <w:rStyle w:val="Arial11"/>
          <w:rFonts w:cs="Arial"/>
          <w:sz w:val="24"/>
        </w:rPr>
      </w:pPr>
      <w:r w:rsidRPr="00F562A6">
        <w:rPr>
          <w:rFonts w:ascii="Arial" w:hAnsi="Arial" w:cs="Arial"/>
        </w:rPr>
        <w:t xml:space="preserve">SUBSCRIBED AND SWORN to before </w:t>
      </w:r>
      <w:proofErr w:type="gramStart"/>
      <w:r w:rsidRPr="00F562A6">
        <w:rPr>
          <w:rFonts w:ascii="Arial" w:hAnsi="Arial" w:cs="Arial"/>
        </w:rPr>
        <w:t>me</w:t>
      </w:r>
      <w:proofErr w:type="gramEnd"/>
      <w:r w:rsidRPr="00F562A6">
        <w:rPr>
          <w:rFonts w:ascii="Arial" w:hAnsi="Arial" w:cs="Arial"/>
        </w:rPr>
        <w:t xml:space="preserve"> this ____</w:t>
      </w:r>
      <w:r w:rsidRPr="00F562A6">
        <w:rPr>
          <w:rStyle w:val="Arial11"/>
          <w:rFonts w:cs="Arial"/>
          <w:sz w:val="24"/>
        </w:rPr>
        <w:t xml:space="preserve"> day of ______________ 2015, Affiant exhibited to me his ___________________________, a government-issued ID with number ___________________, bearing his photo and signature, expiring on ____________________.</w:t>
      </w:r>
    </w:p>
    <w:p w:rsidR="00DA7E4E" w:rsidRPr="00F562A6" w:rsidRDefault="00DA7E4E" w:rsidP="00DA7E4E">
      <w:pPr>
        <w:pStyle w:val="ListParagraph"/>
        <w:spacing w:after="120"/>
        <w:ind w:left="360"/>
        <w:rPr>
          <w:rFonts w:ascii="Arial" w:hAnsi="Arial" w:cs="Arial"/>
        </w:rPr>
      </w:pPr>
    </w:p>
    <w:p w:rsidR="00DA7E4E" w:rsidRPr="00F562A6" w:rsidRDefault="00DA7E4E" w:rsidP="00DA7E4E">
      <w:pPr>
        <w:pStyle w:val="ListParagraph"/>
        <w:tabs>
          <w:tab w:val="left" w:pos="1260"/>
        </w:tabs>
        <w:ind w:left="0"/>
        <w:rPr>
          <w:rFonts w:ascii="Arial" w:hAnsi="Arial" w:cs="Arial"/>
        </w:rPr>
      </w:pPr>
      <w:proofErr w:type="gramStart"/>
      <w:r w:rsidRPr="00F562A6">
        <w:rPr>
          <w:rFonts w:ascii="Arial" w:hAnsi="Arial" w:cs="Arial"/>
        </w:rPr>
        <w:t>Doc. No.</w:t>
      </w:r>
      <w:proofErr w:type="gramEnd"/>
      <w:r w:rsidRPr="00F562A6">
        <w:rPr>
          <w:rFonts w:ascii="Arial" w:hAnsi="Arial" w:cs="Arial"/>
        </w:rPr>
        <w:tab/>
        <w:t>_________;</w:t>
      </w:r>
    </w:p>
    <w:p w:rsidR="00DA7E4E" w:rsidRPr="00F562A6" w:rsidRDefault="00DA7E4E" w:rsidP="00DA7E4E">
      <w:pPr>
        <w:pStyle w:val="ListParagraph"/>
        <w:tabs>
          <w:tab w:val="left" w:pos="1260"/>
          <w:tab w:val="left" w:pos="1800"/>
        </w:tabs>
        <w:ind w:left="0"/>
        <w:rPr>
          <w:rFonts w:ascii="Arial" w:hAnsi="Arial" w:cs="Arial"/>
        </w:rPr>
      </w:pPr>
      <w:r w:rsidRPr="00F562A6">
        <w:rPr>
          <w:rFonts w:ascii="Arial" w:hAnsi="Arial" w:cs="Arial"/>
        </w:rPr>
        <w:t>Page No.</w:t>
      </w:r>
      <w:r w:rsidRPr="00F562A6">
        <w:rPr>
          <w:rFonts w:ascii="Arial" w:hAnsi="Arial" w:cs="Arial"/>
        </w:rPr>
        <w:tab/>
        <w:t>_________;</w:t>
      </w:r>
    </w:p>
    <w:p w:rsidR="00DA7E4E" w:rsidRPr="00F562A6" w:rsidRDefault="00DA7E4E" w:rsidP="00DA7E4E">
      <w:pPr>
        <w:pStyle w:val="ListParagraph"/>
        <w:tabs>
          <w:tab w:val="left" w:pos="1260"/>
        </w:tabs>
        <w:ind w:left="0"/>
        <w:rPr>
          <w:rFonts w:ascii="Arial" w:hAnsi="Arial" w:cs="Arial"/>
        </w:rPr>
      </w:pPr>
      <w:proofErr w:type="gramStart"/>
      <w:r w:rsidRPr="00F562A6">
        <w:rPr>
          <w:rFonts w:ascii="Arial" w:hAnsi="Arial" w:cs="Arial"/>
        </w:rPr>
        <w:t>Book No.</w:t>
      </w:r>
      <w:proofErr w:type="gramEnd"/>
      <w:r w:rsidRPr="00F562A6">
        <w:rPr>
          <w:rFonts w:ascii="Arial" w:hAnsi="Arial" w:cs="Arial"/>
        </w:rPr>
        <w:tab/>
        <w:t>_________;</w:t>
      </w:r>
    </w:p>
    <w:p w:rsidR="00DA7E4E" w:rsidRPr="0093282A" w:rsidRDefault="00DA7E4E" w:rsidP="00DA7E4E">
      <w:pPr>
        <w:tabs>
          <w:tab w:val="left" w:pos="1260"/>
        </w:tabs>
        <w:sectPr w:rsidR="00DA7E4E" w:rsidRPr="0093282A" w:rsidSect="00390BEB">
          <w:headerReference w:type="default" r:id="rId8"/>
          <w:headerReference w:type="first" r:id="rId9"/>
          <w:pgSz w:w="11900" w:h="16840" w:code="9"/>
          <w:pgMar w:top="1440" w:right="1440" w:bottom="1440" w:left="1440" w:header="706" w:footer="706" w:gutter="0"/>
          <w:cols w:space="708"/>
          <w:titlePg/>
          <w:docGrid w:linePitch="360"/>
        </w:sectPr>
      </w:pPr>
      <w:proofErr w:type="gramStart"/>
      <w:r w:rsidRPr="00F562A6">
        <w:rPr>
          <w:rFonts w:ascii="Arial" w:hAnsi="Arial" w:cs="Arial"/>
        </w:rPr>
        <w:t>Series of 2015.</w:t>
      </w:r>
      <w:proofErr w:type="gramEnd"/>
    </w:p>
    <w:p w:rsidR="00D8538D" w:rsidRPr="0093282A" w:rsidRDefault="00D8538D" w:rsidP="00D8538D">
      <w:pPr>
        <w:spacing w:after="360"/>
        <w:jc w:val="center"/>
        <w:rPr>
          <w:rFonts w:ascii="Arial" w:hAnsi="Arial" w:cs="Arial"/>
          <w:b/>
          <w:sz w:val="28"/>
        </w:rPr>
      </w:pPr>
      <w:r w:rsidRPr="0093282A">
        <w:rPr>
          <w:rFonts w:ascii="Arial" w:hAnsi="Arial" w:cs="Arial"/>
          <w:b/>
          <w:sz w:val="28"/>
        </w:rPr>
        <w:lastRenderedPageBreak/>
        <w:t>OMNIBUS CERTIFICATION</w:t>
      </w:r>
    </w:p>
    <w:p w:rsidR="00D8538D" w:rsidRPr="0093282A" w:rsidRDefault="00D8538D" w:rsidP="00D8538D">
      <w:pPr>
        <w:ind w:firstLine="630"/>
        <w:jc w:val="both"/>
        <w:rPr>
          <w:rFonts w:ascii="Arial" w:hAnsi="Arial" w:cs="Arial"/>
        </w:rPr>
      </w:pPr>
      <w:r w:rsidRPr="0093282A">
        <w:rPr>
          <w:rFonts w:ascii="Arial" w:hAnsi="Arial" w:cs="Arial"/>
        </w:rPr>
        <w:t>This is to certify to the following:</w:t>
      </w:r>
    </w:p>
    <w:p w:rsidR="00D8538D" w:rsidRPr="0093282A" w:rsidRDefault="00D8538D" w:rsidP="00D8538D">
      <w:pPr>
        <w:jc w:val="both"/>
        <w:rPr>
          <w:rFonts w:ascii="Arial" w:hAnsi="Arial" w:cs="Arial"/>
        </w:rPr>
      </w:pPr>
    </w:p>
    <w:p w:rsidR="00D8538D" w:rsidRPr="0093282A" w:rsidRDefault="00D8538D" w:rsidP="00D8538D">
      <w:pPr>
        <w:numPr>
          <w:ilvl w:val="0"/>
          <w:numId w:val="3"/>
        </w:numPr>
        <w:spacing w:after="200"/>
        <w:jc w:val="both"/>
        <w:rPr>
          <w:rFonts w:ascii="Arial" w:hAnsi="Arial" w:cs="Arial"/>
        </w:rPr>
      </w:pPr>
      <w:r w:rsidRPr="0093282A">
        <w:rPr>
          <w:rFonts w:ascii="Arial" w:hAnsi="Arial" w:cs="Arial"/>
        </w:rPr>
        <w:t xml:space="preserve">The </w:t>
      </w:r>
      <w:r w:rsidRPr="00DA7E4E">
        <w:rPr>
          <w:rFonts w:ascii="Arial" w:hAnsi="Arial" w:cs="Arial"/>
          <w:highlight w:val="yellow"/>
        </w:rPr>
        <w:t>[</w:t>
      </w:r>
      <w:r w:rsidRPr="00DA7E4E">
        <w:rPr>
          <w:rFonts w:ascii="Arial" w:hAnsi="Arial" w:cs="Arial"/>
          <w:b/>
          <w:smallCaps/>
          <w:highlight w:val="yellow"/>
        </w:rPr>
        <w:t>full name of GOCC</w:t>
      </w:r>
      <w:r w:rsidRPr="00DA7E4E">
        <w:rPr>
          <w:rFonts w:ascii="Arial" w:hAnsi="Arial" w:cs="Arial"/>
          <w:highlight w:val="yellow"/>
        </w:rPr>
        <w:t>]</w:t>
      </w:r>
      <w:r>
        <w:rPr>
          <w:rFonts w:ascii="Arial" w:hAnsi="Arial" w:cs="Arial"/>
        </w:rPr>
        <w:t xml:space="preserve"> a</w:t>
      </w:r>
      <w:r w:rsidRPr="0093282A">
        <w:rPr>
          <w:rFonts w:ascii="Arial" w:hAnsi="Arial" w:cs="Arial"/>
        </w:rPr>
        <w:t xml:space="preserve">chieved a </w:t>
      </w:r>
      <w:r w:rsidRPr="007A4C50">
        <w:rPr>
          <w:rFonts w:ascii="Arial" w:hAnsi="Arial" w:cs="Arial"/>
        </w:rPr>
        <w:t xml:space="preserve">weighted-average score of </w:t>
      </w:r>
      <w:r w:rsidRPr="00DA7E4E">
        <w:rPr>
          <w:rFonts w:ascii="Arial" w:hAnsi="Arial" w:cs="Arial"/>
          <w:highlight w:val="yellow"/>
        </w:rPr>
        <w:t>_</w:t>
      </w:r>
      <w:r w:rsidRPr="007A4C50">
        <w:rPr>
          <w:rFonts w:ascii="Arial" w:hAnsi="Arial" w:cs="Arial"/>
        </w:rPr>
        <w:t>%</w:t>
      </w:r>
      <w:r w:rsidRPr="0093282A">
        <w:rPr>
          <w:rFonts w:ascii="Arial" w:hAnsi="Arial" w:cs="Arial"/>
        </w:rPr>
        <w:t xml:space="preserve"> on its 201</w:t>
      </w:r>
      <w:r w:rsidR="00363369">
        <w:rPr>
          <w:rFonts w:ascii="Arial" w:hAnsi="Arial" w:cs="Arial"/>
        </w:rPr>
        <w:t>4</w:t>
      </w:r>
      <w:r w:rsidRPr="0093282A">
        <w:rPr>
          <w:rFonts w:ascii="Arial" w:hAnsi="Arial" w:cs="Arial"/>
        </w:rPr>
        <w:t xml:space="preserve"> Performance Scorecard.</w:t>
      </w:r>
    </w:p>
    <w:p w:rsidR="00D8538D" w:rsidRPr="0093282A" w:rsidRDefault="00D8538D" w:rsidP="00D8538D">
      <w:pPr>
        <w:numPr>
          <w:ilvl w:val="0"/>
          <w:numId w:val="3"/>
        </w:numPr>
        <w:spacing w:after="200"/>
        <w:jc w:val="both"/>
        <w:rPr>
          <w:rFonts w:ascii="Arial" w:hAnsi="Arial" w:cs="Arial"/>
        </w:rPr>
      </w:pPr>
      <w:r w:rsidRPr="0093282A">
        <w:rPr>
          <w:rFonts w:ascii="Arial" w:hAnsi="Arial" w:cs="Arial"/>
        </w:rPr>
        <w:t>Complied with all Good Governance Conditions, to wit:</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rPr>
      </w:pPr>
      <w:r w:rsidRPr="0093282A">
        <w:rPr>
          <w:rFonts w:ascii="Arial" w:hAnsi="Arial" w:cs="Arial"/>
        </w:rPr>
        <w:t>Transparency Seal;</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rPr>
      </w:pPr>
      <w:proofErr w:type="spellStart"/>
      <w:r w:rsidRPr="0093282A">
        <w:rPr>
          <w:rFonts w:ascii="Arial" w:hAnsi="Arial" w:cs="Arial"/>
        </w:rPr>
        <w:t>PhilGEPS</w:t>
      </w:r>
      <w:proofErr w:type="spellEnd"/>
      <w:r w:rsidRPr="0093282A">
        <w:rPr>
          <w:rFonts w:ascii="Arial" w:hAnsi="Arial" w:cs="Arial"/>
        </w:rPr>
        <w:t xml:space="preserve"> Posting;</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rPr>
      </w:pPr>
      <w:r w:rsidRPr="0093282A">
        <w:rPr>
          <w:rFonts w:ascii="Arial" w:hAnsi="Arial" w:cs="Arial"/>
        </w:rPr>
        <w:t>Cash Advance Liquidation;</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rPr>
      </w:pPr>
      <w:r w:rsidRPr="0093282A">
        <w:rPr>
          <w:rFonts w:ascii="Arial" w:hAnsi="Arial" w:cs="Arial"/>
        </w:rPr>
        <w:t>Citizen’s Charter or its equivalent;</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rPr>
      </w:pPr>
      <w:r w:rsidRPr="00DA7E4E">
        <w:rPr>
          <w:rFonts w:ascii="Arial" w:hAnsi="Arial" w:cs="Arial"/>
          <w:highlight w:val="yellow"/>
        </w:rPr>
        <w:t>[select one, delete the other]</w:t>
      </w:r>
      <w:r w:rsidRPr="0093282A">
        <w:rPr>
          <w:rFonts w:ascii="Arial" w:hAnsi="Arial" w:cs="Arial"/>
        </w:rPr>
        <w:t xml:space="preserve"> Submission of statement of compliance with the Government Quality Management System Standards (GQMSS) pursuant to E.O. No. 605, s. 2007 </w:t>
      </w:r>
      <w:r w:rsidRPr="00DA7E4E">
        <w:rPr>
          <w:rFonts w:ascii="Arial" w:hAnsi="Arial" w:cs="Arial"/>
          <w:highlight w:val="yellow"/>
        </w:rPr>
        <w:t>[OR]</w:t>
      </w:r>
      <w:r w:rsidR="00DA7E4E">
        <w:rPr>
          <w:rFonts w:ascii="Arial" w:hAnsi="Arial" w:cs="Arial"/>
        </w:rPr>
        <w:t xml:space="preserve"> </w:t>
      </w:r>
      <w:r w:rsidRPr="0093282A">
        <w:rPr>
          <w:rFonts w:ascii="Arial" w:hAnsi="Arial" w:cs="Arial"/>
        </w:rPr>
        <w:t>Submission of</w:t>
      </w:r>
      <w:r>
        <w:rPr>
          <w:rFonts w:ascii="Arial" w:hAnsi="Arial" w:cs="Arial"/>
        </w:rPr>
        <w:t xml:space="preserve"> concrete and</w:t>
      </w:r>
      <w:r w:rsidRPr="0093282A">
        <w:rPr>
          <w:rFonts w:ascii="Arial" w:hAnsi="Arial" w:cs="Arial"/>
        </w:rPr>
        <w:t xml:space="preserve"> </w:t>
      </w:r>
      <w:proofErr w:type="spellStart"/>
      <w:r w:rsidRPr="0093282A">
        <w:rPr>
          <w:rFonts w:ascii="Arial" w:hAnsi="Arial" w:cs="Arial"/>
        </w:rPr>
        <w:t>timebound</w:t>
      </w:r>
      <w:proofErr w:type="spellEnd"/>
      <w:r w:rsidRPr="0093282A">
        <w:rPr>
          <w:rFonts w:ascii="Arial" w:hAnsi="Arial" w:cs="Arial"/>
        </w:rPr>
        <w:t xml:space="preserve"> plan and actions taken towards complying with the Government Quality Management System Standards (GQMSS) pursuant to E.O. No. 605, s. 2007;</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rPr>
      </w:pPr>
      <w:r w:rsidRPr="0093282A">
        <w:rPr>
          <w:rFonts w:ascii="Arial" w:hAnsi="Arial" w:cs="Arial"/>
        </w:rPr>
        <w:t xml:space="preserve">Compliance with the submission and review requirements covering Statement of Assets, Liabilities and </w:t>
      </w:r>
      <w:proofErr w:type="spellStart"/>
      <w:r w:rsidRPr="0093282A">
        <w:rPr>
          <w:rFonts w:ascii="Arial" w:hAnsi="Arial" w:cs="Arial"/>
        </w:rPr>
        <w:t>Networth</w:t>
      </w:r>
      <w:proofErr w:type="spellEnd"/>
      <w:r w:rsidRPr="0093282A">
        <w:rPr>
          <w:rFonts w:ascii="Arial" w:hAnsi="Arial" w:cs="Arial"/>
        </w:rPr>
        <w:t xml:space="preserve"> (SALN);</w:t>
      </w:r>
    </w:p>
    <w:p w:rsidR="00D8538D" w:rsidRPr="0093282A" w:rsidRDefault="00D8538D" w:rsidP="00D8538D">
      <w:pPr>
        <w:pStyle w:val="ColorfulList-Accent11"/>
        <w:numPr>
          <w:ilvl w:val="0"/>
          <w:numId w:val="4"/>
        </w:numPr>
        <w:spacing w:after="60"/>
        <w:ind w:left="1080" w:right="20"/>
        <w:contextualSpacing w:val="0"/>
        <w:jc w:val="both"/>
        <w:rPr>
          <w:rFonts w:ascii="Arial" w:hAnsi="Arial" w:cs="Arial"/>
        </w:rPr>
      </w:pPr>
      <w:r w:rsidRPr="0093282A">
        <w:rPr>
          <w:rFonts w:ascii="Arial" w:hAnsi="Arial" w:cs="Arial"/>
        </w:rPr>
        <w:t>Paid in full all statutory liabilities, namely:</w:t>
      </w:r>
    </w:p>
    <w:p w:rsidR="00D8538D" w:rsidRPr="0093282A" w:rsidRDefault="00D8538D" w:rsidP="00D8538D">
      <w:pPr>
        <w:pStyle w:val="ColorfulList-Accent11"/>
        <w:spacing w:after="60"/>
        <w:ind w:left="1440" w:right="20" w:hanging="360"/>
        <w:contextualSpacing w:val="0"/>
        <w:jc w:val="both"/>
        <w:rPr>
          <w:rFonts w:ascii="Arial" w:hAnsi="Arial" w:cs="Arial"/>
        </w:rPr>
      </w:pPr>
      <w:r w:rsidRPr="0093282A">
        <w:rPr>
          <w:rFonts w:ascii="Arial" w:hAnsi="Arial" w:cs="Arial"/>
        </w:rPr>
        <w:t xml:space="preserve">i. </w:t>
      </w:r>
      <w:r w:rsidRPr="0093282A">
        <w:rPr>
          <w:rFonts w:ascii="Arial" w:hAnsi="Arial" w:cs="Arial"/>
        </w:rPr>
        <w:tab/>
        <w:t>All taxes due to the Government;</w:t>
      </w:r>
    </w:p>
    <w:p w:rsidR="00D8538D" w:rsidRPr="0093282A" w:rsidRDefault="00D8538D" w:rsidP="00D8538D">
      <w:pPr>
        <w:pStyle w:val="ColorfulList-Accent11"/>
        <w:spacing w:after="60"/>
        <w:ind w:left="1440" w:right="20" w:hanging="360"/>
        <w:contextualSpacing w:val="0"/>
        <w:jc w:val="both"/>
        <w:rPr>
          <w:rFonts w:ascii="Arial" w:hAnsi="Arial" w:cs="Arial"/>
        </w:rPr>
      </w:pPr>
      <w:r w:rsidRPr="00D8538D">
        <w:rPr>
          <w:rFonts w:ascii="Arial" w:hAnsi="Arial" w:cs="Arial"/>
        </w:rPr>
        <w:t>ii.</w:t>
      </w:r>
      <w:r w:rsidRPr="00D8538D">
        <w:rPr>
          <w:rFonts w:ascii="Arial" w:hAnsi="Arial" w:cs="Arial"/>
        </w:rPr>
        <w:tab/>
        <w:t>Declaration and payment of all dividends to the State due for CY 201</w:t>
      </w:r>
      <w:r w:rsidR="00DA7E4E">
        <w:rPr>
          <w:rFonts w:ascii="Arial" w:hAnsi="Arial" w:cs="Arial"/>
        </w:rPr>
        <w:t>4</w:t>
      </w:r>
      <w:r w:rsidRPr="00D8538D">
        <w:rPr>
          <w:rFonts w:ascii="Arial" w:hAnsi="Arial" w:cs="Arial"/>
        </w:rPr>
        <w:t>;</w:t>
      </w:r>
    </w:p>
    <w:p w:rsidR="00D8538D" w:rsidRPr="0093282A" w:rsidRDefault="00D8538D" w:rsidP="00D8538D">
      <w:pPr>
        <w:pStyle w:val="ColorfulList-Accent11"/>
        <w:spacing w:after="60"/>
        <w:ind w:left="1440" w:right="20" w:hanging="360"/>
        <w:contextualSpacing w:val="0"/>
        <w:jc w:val="both"/>
        <w:rPr>
          <w:rFonts w:ascii="Arial" w:hAnsi="Arial" w:cs="Arial"/>
        </w:rPr>
      </w:pPr>
      <w:r w:rsidRPr="0093282A">
        <w:rPr>
          <w:rFonts w:ascii="Arial" w:hAnsi="Arial" w:cs="Arial"/>
        </w:rPr>
        <w:t>iii.</w:t>
      </w:r>
      <w:r w:rsidRPr="0093282A">
        <w:rPr>
          <w:rFonts w:ascii="Arial" w:hAnsi="Arial" w:cs="Arial"/>
        </w:rPr>
        <w:tab/>
        <w:t>Payment of mandatory premiums due for CY 201</w:t>
      </w:r>
      <w:r w:rsidR="00DA7E4E">
        <w:rPr>
          <w:rFonts w:ascii="Arial" w:hAnsi="Arial" w:cs="Arial"/>
        </w:rPr>
        <w:t>4</w:t>
      </w:r>
      <w:r w:rsidRPr="0093282A">
        <w:rPr>
          <w:rFonts w:ascii="Arial" w:hAnsi="Arial" w:cs="Arial"/>
        </w:rPr>
        <w:t xml:space="preserve"> to the Government Service Insurance System (GSIS), Social Security System (SSS), Home Development Mutual Fund (</w:t>
      </w:r>
      <w:proofErr w:type="spellStart"/>
      <w:r w:rsidRPr="0093282A">
        <w:rPr>
          <w:rFonts w:ascii="Arial" w:hAnsi="Arial" w:cs="Arial"/>
        </w:rPr>
        <w:t>Pag</w:t>
      </w:r>
      <w:proofErr w:type="spellEnd"/>
      <w:r w:rsidRPr="0093282A">
        <w:rPr>
          <w:rFonts w:ascii="Arial" w:hAnsi="Arial" w:cs="Arial"/>
        </w:rPr>
        <w:t>-I</w:t>
      </w:r>
      <w:r>
        <w:rPr>
          <w:rFonts w:ascii="Arial" w:hAnsi="Arial" w:cs="Arial"/>
        </w:rPr>
        <w:t>BIG</w:t>
      </w:r>
      <w:r w:rsidRPr="0093282A">
        <w:rPr>
          <w:rFonts w:ascii="Arial" w:hAnsi="Arial" w:cs="Arial"/>
        </w:rPr>
        <w:t>), Philippine Health Insurance Corporation (</w:t>
      </w:r>
      <w:proofErr w:type="spellStart"/>
      <w:r w:rsidRPr="0093282A">
        <w:rPr>
          <w:rFonts w:ascii="Arial" w:hAnsi="Arial" w:cs="Arial"/>
        </w:rPr>
        <w:t>PhilHealth</w:t>
      </w:r>
      <w:proofErr w:type="spellEnd"/>
      <w:r w:rsidRPr="0093282A">
        <w:rPr>
          <w:rFonts w:ascii="Arial" w:hAnsi="Arial" w:cs="Arial"/>
        </w:rPr>
        <w:t>) and the Employees Compensation Commission (ECC);</w:t>
      </w:r>
    </w:p>
    <w:p w:rsidR="00D8538D" w:rsidRPr="0093282A" w:rsidRDefault="00D8538D" w:rsidP="00D8538D">
      <w:pPr>
        <w:pStyle w:val="ColorfulList-Accent11"/>
        <w:numPr>
          <w:ilvl w:val="0"/>
          <w:numId w:val="4"/>
        </w:numPr>
        <w:spacing w:after="120"/>
        <w:ind w:left="1080" w:right="14"/>
        <w:contextualSpacing w:val="0"/>
        <w:jc w:val="both"/>
        <w:rPr>
          <w:rFonts w:ascii="Arial" w:hAnsi="Arial" w:cs="Arial"/>
          <w:sz w:val="28"/>
        </w:rPr>
      </w:pPr>
      <w:r w:rsidRPr="0093282A">
        <w:rPr>
          <w:rFonts w:ascii="Arial" w:hAnsi="Arial" w:cs="Arial"/>
        </w:rPr>
        <w:t>Submission to GCG and COA of concrete and time bound action plans for addressing Notices of Disallowances and Audit Observation Memoranda from the Commission on Audit (COA), if any, and the timely execution of all such plans that were possible as of the time of the issuance of this Certification.</w:t>
      </w:r>
    </w:p>
    <w:p w:rsidR="00D8538D" w:rsidRPr="0093282A" w:rsidRDefault="00D8538D" w:rsidP="00D8538D">
      <w:pPr>
        <w:pStyle w:val="ColorfulList-Accent11"/>
        <w:numPr>
          <w:ilvl w:val="0"/>
          <w:numId w:val="4"/>
        </w:numPr>
        <w:spacing w:after="60"/>
        <w:ind w:left="1080" w:right="20"/>
        <w:contextualSpacing w:val="0"/>
        <w:jc w:val="both"/>
        <w:rPr>
          <w:rFonts w:ascii="Arial" w:hAnsi="Arial" w:cs="Arial"/>
        </w:rPr>
      </w:pPr>
      <w:r w:rsidRPr="0093282A">
        <w:rPr>
          <w:rFonts w:ascii="Arial" w:hAnsi="Arial" w:cs="Arial"/>
        </w:rPr>
        <w:t xml:space="preserve">Uploading of the following on the official website of </w:t>
      </w:r>
      <w:r w:rsidRPr="00B53472">
        <w:rPr>
          <w:rFonts w:ascii="Arial" w:hAnsi="Arial" w:cs="Arial"/>
        </w:rPr>
        <w:t>[GOCC Acronym]</w:t>
      </w:r>
      <w:r w:rsidRPr="0093282A">
        <w:rPr>
          <w:rFonts w:ascii="Arial" w:hAnsi="Arial" w:cs="Arial"/>
        </w:rPr>
        <w:t xml:space="preserve"> for unrestricted public access, to wit:</w:t>
      </w:r>
    </w:p>
    <w:p w:rsidR="00D8538D" w:rsidRPr="0093282A" w:rsidRDefault="00D8538D" w:rsidP="00D8538D">
      <w:pPr>
        <w:pStyle w:val="ColorfulList-Accent11"/>
        <w:tabs>
          <w:tab w:val="left" w:pos="1350"/>
        </w:tabs>
        <w:spacing w:after="60"/>
        <w:ind w:left="1440" w:right="20" w:hanging="360"/>
        <w:contextualSpacing w:val="0"/>
        <w:jc w:val="both"/>
        <w:rPr>
          <w:rFonts w:ascii="Arial" w:hAnsi="Arial" w:cs="Arial"/>
          <w:smallCaps/>
        </w:rPr>
      </w:pPr>
      <w:proofErr w:type="gramStart"/>
      <w:r w:rsidRPr="0093282A">
        <w:rPr>
          <w:rFonts w:ascii="Arial" w:hAnsi="Arial" w:cs="Arial"/>
        </w:rPr>
        <w:t>i</w:t>
      </w:r>
      <w:proofErr w:type="gramEnd"/>
      <w:r w:rsidRPr="0093282A">
        <w:rPr>
          <w:rFonts w:ascii="Arial" w:hAnsi="Arial" w:cs="Arial"/>
        </w:rPr>
        <w:t xml:space="preserve">. </w:t>
      </w:r>
      <w:r w:rsidRPr="0093282A">
        <w:rPr>
          <w:rFonts w:ascii="Arial" w:hAnsi="Arial" w:cs="Arial"/>
        </w:rPr>
        <w:tab/>
      </w:r>
      <w:r w:rsidRPr="0093282A">
        <w:rPr>
          <w:rFonts w:ascii="Arial" w:hAnsi="Arial" w:cs="Arial"/>
          <w:i/>
        </w:rPr>
        <w:t>Manual of Corporate Governance</w:t>
      </w:r>
      <w:r w:rsidR="00DA7E4E">
        <w:rPr>
          <w:rFonts w:ascii="Arial" w:hAnsi="Arial" w:cs="Arial"/>
          <w:i/>
        </w:rPr>
        <w:t xml:space="preserve"> </w:t>
      </w:r>
      <w:r w:rsidR="00DA7E4E">
        <w:rPr>
          <w:rFonts w:ascii="Arial" w:hAnsi="Arial" w:cs="Arial"/>
        </w:rPr>
        <w:t xml:space="preserve">and </w:t>
      </w:r>
      <w:r w:rsidR="00DA7E4E">
        <w:rPr>
          <w:rFonts w:ascii="Arial" w:hAnsi="Arial" w:cs="Arial"/>
          <w:i/>
        </w:rPr>
        <w:t xml:space="preserve">No Gift Policy </w:t>
      </w:r>
      <w:r w:rsidRPr="0093282A">
        <w:rPr>
          <w:rFonts w:ascii="Arial" w:hAnsi="Arial" w:cs="Arial"/>
        </w:rPr>
        <w:t>approved by GCG pursuant to Section</w:t>
      </w:r>
      <w:r w:rsidR="00DA7E4E">
        <w:rPr>
          <w:rFonts w:ascii="Arial" w:hAnsi="Arial" w:cs="Arial"/>
        </w:rPr>
        <w:t>s</w:t>
      </w:r>
      <w:r w:rsidRPr="0093282A">
        <w:rPr>
          <w:rFonts w:ascii="Arial" w:hAnsi="Arial" w:cs="Arial"/>
        </w:rPr>
        <w:t xml:space="preserve"> 42</w:t>
      </w:r>
      <w:r w:rsidR="00DA7E4E">
        <w:rPr>
          <w:rFonts w:ascii="Arial" w:hAnsi="Arial" w:cs="Arial"/>
        </w:rPr>
        <w:t xml:space="preserve"> and 29, respectively,</w:t>
      </w:r>
      <w:r w:rsidRPr="0093282A">
        <w:rPr>
          <w:rFonts w:ascii="Arial" w:hAnsi="Arial" w:cs="Arial"/>
        </w:rPr>
        <w:t xml:space="preserve"> of the </w:t>
      </w:r>
      <w:r w:rsidRPr="0093282A">
        <w:rPr>
          <w:rFonts w:ascii="Arial" w:hAnsi="Arial" w:cs="Arial"/>
          <w:b/>
          <w:smallCaps/>
        </w:rPr>
        <w:t>Code of Corporate Governance for GOCCs (GCG MC No. 2012-07)</w:t>
      </w:r>
      <w:r w:rsidRPr="0093282A">
        <w:rPr>
          <w:rFonts w:ascii="Arial" w:hAnsi="Arial" w:cs="Arial"/>
          <w:smallCaps/>
        </w:rPr>
        <w:t>.</w:t>
      </w:r>
    </w:p>
    <w:p w:rsidR="00D8538D" w:rsidRDefault="00D8538D" w:rsidP="00D8538D">
      <w:pPr>
        <w:pStyle w:val="ColorfulList-Accent11"/>
        <w:tabs>
          <w:tab w:val="left" w:pos="1350"/>
        </w:tabs>
        <w:spacing w:after="60"/>
        <w:ind w:left="1440" w:right="20" w:hanging="360"/>
        <w:contextualSpacing w:val="0"/>
        <w:jc w:val="both"/>
        <w:rPr>
          <w:rFonts w:ascii="Arial" w:hAnsi="Arial" w:cs="Arial"/>
        </w:rPr>
      </w:pPr>
      <w:r w:rsidRPr="0093282A">
        <w:rPr>
          <w:rFonts w:ascii="Arial" w:hAnsi="Arial" w:cs="Arial"/>
        </w:rPr>
        <w:t>ii</w:t>
      </w:r>
      <w:r w:rsidRPr="0093282A">
        <w:rPr>
          <w:rFonts w:ascii="Arial" w:hAnsi="Arial" w:cs="Arial"/>
          <w:smallCaps/>
        </w:rPr>
        <w:t>.</w:t>
      </w:r>
      <w:r w:rsidRPr="0093282A">
        <w:rPr>
          <w:rFonts w:ascii="Arial" w:hAnsi="Arial" w:cs="Arial"/>
          <w:smallCaps/>
        </w:rPr>
        <w:tab/>
      </w:r>
      <w:r w:rsidRPr="0093282A">
        <w:rPr>
          <w:rFonts w:ascii="Arial" w:hAnsi="Arial" w:cs="Arial"/>
        </w:rPr>
        <w:t>Disclosure requirements enumerated under Section 43 of GCG MC No. 2012-07.</w:t>
      </w:r>
    </w:p>
    <w:p w:rsidR="00DA7E4E" w:rsidRPr="0093282A" w:rsidRDefault="00DA7E4E" w:rsidP="00DA7E4E">
      <w:pPr>
        <w:pStyle w:val="ColorfulList-Accent11"/>
        <w:tabs>
          <w:tab w:val="left" w:pos="1080"/>
        </w:tabs>
        <w:spacing w:after="60"/>
        <w:ind w:left="1080" w:right="20" w:hanging="360"/>
        <w:contextualSpacing w:val="0"/>
        <w:jc w:val="both"/>
        <w:rPr>
          <w:rFonts w:ascii="Arial" w:hAnsi="Arial" w:cs="Arial"/>
          <w:i/>
        </w:rPr>
      </w:pPr>
      <w:r>
        <w:rPr>
          <w:rFonts w:ascii="Arial" w:hAnsi="Arial" w:cs="Arial"/>
        </w:rPr>
        <w:t>(j)</w:t>
      </w:r>
      <w:r>
        <w:rPr>
          <w:rFonts w:ascii="Arial" w:hAnsi="Arial" w:cs="Arial"/>
        </w:rPr>
        <w:tab/>
      </w:r>
      <w:r w:rsidRPr="001E0C33">
        <w:rPr>
          <w:rFonts w:ascii="Arial" w:hAnsi="Arial" w:cs="Arial"/>
          <w:lang w:val="en-PH"/>
        </w:rPr>
        <w:t xml:space="preserve">Submission of reports using the web forms provided in the </w:t>
      </w:r>
      <w:r w:rsidRPr="001E0C33">
        <w:rPr>
          <w:rFonts w:ascii="Arial" w:hAnsi="Arial" w:cs="Arial"/>
          <w:i/>
          <w:lang w:val="en-PH"/>
        </w:rPr>
        <w:t>“Integrated Corporate Reporting System”</w:t>
      </w:r>
      <w:r w:rsidRPr="001E0C33">
        <w:rPr>
          <w:rFonts w:ascii="Arial" w:hAnsi="Arial" w:cs="Arial"/>
          <w:lang w:val="en-PH"/>
        </w:rPr>
        <w:t xml:space="preserve"> (ICRS)</w:t>
      </w:r>
      <w:r>
        <w:rPr>
          <w:rFonts w:ascii="Arial" w:hAnsi="Arial" w:cs="Arial"/>
          <w:lang w:val="en-PH"/>
        </w:rPr>
        <w:t>.</w:t>
      </w:r>
    </w:p>
    <w:p w:rsidR="00D8538D" w:rsidRPr="0093282A" w:rsidRDefault="00D8538D" w:rsidP="00D8538D">
      <w:pPr>
        <w:numPr>
          <w:ilvl w:val="0"/>
          <w:numId w:val="3"/>
        </w:numPr>
        <w:spacing w:before="200" w:after="200"/>
        <w:jc w:val="both"/>
        <w:rPr>
          <w:rFonts w:ascii="Arial" w:hAnsi="Arial" w:cs="Arial"/>
        </w:rPr>
      </w:pPr>
      <w:r w:rsidRPr="0093282A">
        <w:rPr>
          <w:rFonts w:ascii="Arial" w:hAnsi="Arial" w:cs="Arial"/>
          <w:bCs/>
        </w:rPr>
        <w:t>Pursuant to Section 5(b) of E.O. 80 and GCG MC No. 201</w:t>
      </w:r>
      <w:r w:rsidR="00DA7E4E">
        <w:rPr>
          <w:rFonts w:ascii="Arial" w:hAnsi="Arial" w:cs="Arial"/>
          <w:bCs/>
        </w:rPr>
        <w:t>4</w:t>
      </w:r>
      <w:r w:rsidRPr="0093282A">
        <w:rPr>
          <w:rFonts w:ascii="Arial" w:hAnsi="Arial" w:cs="Arial"/>
          <w:bCs/>
        </w:rPr>
        <w:t>-</w:t>
      </w:r>
      <w:r>
        <w:rPr>
          <w:rFonts w:ascii="Arial" w:hAnsi="Arial" w:cs="Arial"/>
          <w:bCs/>
        </w:rPr>
        <w:t>05</w:t>
      </w:r>
      <w:r w:rsidRPr="0093282A">
        <w:rPr>
          <w:rFonts w:ascii="Arial" w:hAnsi="Arial" w:cs="Arial"/>
          <w:bCs/>
        </w:rPr>
        <w:t>, the funding allocated for the 201</w:t>
      </w:r>
      <w:r w:rsidR="00DA7E4E">
        <w:rPr>
          <w:rFonts w:ascii="Arial" w:hAnsi="Arial" w:cs="Arial"/>
          <w:bCs/>
        </w:rPr>
        <w:t>4</w:t>
      </w:r>
      <w:r w:rsidRPr="0093282A">
        <w:rPr>
          <w:rFonts w:ascii="Arial" w:hAnsi="Arial" w:cs="Arial"/>
          <w:bCs/>
        </w:rPr>
        <w:t xml:space="preserve"> Performance-Based Bonus (PBB)</w:t>
      </w:r>
      <w:r w:rsidR="00DA7E4E">
        <w:rPr>
          <w:rFonts w:ascii="Arial" w:hAnsi="Arial" w:cs="Arial"/>
          <w:bCs/>
        </w:rPr>
        <w:t xml:space="preserve"> </w:t>
      </w:r>
      <w:r w:rsidRPr="0093282A">
        <w:rPr>
          <w:rFonts w:ascii="Arial" w:hAnsi="Arial" w:cs="Arial"/>
          <w:bCs/>
        </w:rPr>
        <w:t xml:space="preserve">and approved by the </w:t>
      </w:r>
      <w:r w:rsidRPr="0093282A">
        <w:rPr>
          <w:rFonts w:ascii="Arial" w:hAnsi="Arial" w:cs="Arial"/>
          <w:bCs/>
        </w:rPr>
        <w:lastRenderedPageBreak/>
        <w:t>Governing Board has been sourced from corporate funds, which have not been sourced from any of the following:</w:t>
      </w:r>
    </w:p>
    <w:p w:rsidR="00D8538D" w:rsidRPr="0093282A" w:rsidRDefault="00D8538D" w:rsidP="00D8538D">
      <w:pPr>
        <w:pStyle w:val="ListParagraph"/>
        <w:spacing w:after="120"/>
        <w:ind w:left="1620" w:right="720" w:hanging="540"/>
        <w:jc w:val="both"/>
        <w:rPr>
          <w:rFonts w:ascii="Arial" w:hAnsi="Arial" w:cs="Arial"/>
          <w:bCs/>
        </w:rPr>
      </w:pPr>
      <w:r w:rsidRPr="0093282A">
        <w:rPr>
          <w:rFonts w:ascii="Arial" w:hAnsi="Arial" w:cs="Arial"/>
          <w:bCs/>
        </w:rPr>
        <w:t xml:space="preserve">(a) </w:t>
      </w:r>
      <w:r w:rsidRPr="0093282A">
        <w:rPr>
          <w:rFonts w:ascii="Arial" w:hAnsi="Arial" w:cs="Arial"/>
          <w:bCs/>
        </w:rPr>
        <w:tab/>
        <w:t>Loans;</w:t>
      </w:r>
    </w:p>
    <w:p w:rsidR="00D8538D" w:rsidRPr="0093282A" w:rsidRDefault="00D8538D" w:rsidP="00D8538D">
      <w:pPr>
        <w:pStyle w:val="ListParagraph"/>
        <w:spacing w:after="120"/>
        <w:ind w:left="1620" w:right="720" w:hanging="540"/>
        <w:jc w:val="both"/>
        <w:rPr>
          <w:rFonts w:ascii="Arial" w:hAnsi="Arial" w:cs="Arial"/>
          <w:bCs/>
        </w:rPr>
      </w:pPr>
      <w:r w:rsidRPr="0093282A">
        <w:rPr>
          <w:rFonts w:ascii="Arial" w:hAnsi="Arial" w:cs="Arial"/>
          <w:bCs/>
        </w:rPr>
        <w:t xml:space="preserve">(b) </w:t>
      </w:r>
      <w:r w:rsidRPr="0093282A">
        <w:rPr>
          <w:rFonts w:ascii="Arial" w:hAnsi="Arial" w:cs="Arial"/>
          <w:bCs/>
        </w:rPr>
        <w:tab/>
        <w:t>Subsidy from the NG for the GOCC's operations, except for subsidy income or subsidy given by DBM precisely for the payment of the PBB; and</w:t>
      </w:r>
    </w:p>
    <w:p w:rsidR="00D8538D" w:rsidRPr="0093282A" w:rsidRDefault="00D8538D" w:rsidP="00D8538D">
      <w:pPr>
        <w:pStyle w:val="ListParagraph"/>
        <w:spacing w:after="120"/>
        <w:ind w:left="1620" w:right="720" w:hanging="540"/>
        <w:jc w:val="both"/>
        <w:rPr>
          <w:rFonts w:ascii="Arial" w:hAnsi="Arial" w:cs="Arial"/>
          <w:bCs/>
        </w:rPr>
      </w:pPr>
      <w:r w:rsidRPr="0093282A">
        <w:rPr>
          <w:rFonts w:ascii="Arial" w:hAnsi="Arial" w:cs="Arial"/>
          <w:bCs/>
        </w:rPr>
        <w:t xml:space="preserve">(c) </w:t>
      </w:r>
      <w:r w:rsidRPr="0093282A">
        <w:rPr>
          <w:rFonts w:ascii="Arial" w:hAnsi="Arial" w:cs="Arial"/>
          <w:bCs/>
        </w:rPr>
        <w:tab/>
        <w:t>Sale of the GOCC's asset(s) for the sole purpose of paying the PBB and is otherwise not in the ordinary course of business.</w:t>
      </w:r>
    </w:p>
    <w:p w:rsidR="00D8538D" w:rsidRPr="0093282A" w:rsidRDefault="00D8538D" w:rsidP="00D8538D">
      <w:pPr>
        <w:spacing w:after="200"/>
        <w:ind w:left="720"/>
        <w:jc w:val="both"/>
        <w:rPr>
          <w:rFonts w:ascii="Arial" w:hAnsi="Arial" w:cs="Arial"/>
        </w:rPr>
      </w:pPr>
      <w:r w:rsidRPr="0093282A">
        <w:rPr>
          <w:rFonts w:ascii="Arial" w:hAnsi="Arial" w:cs="Arial"/>
        </w:rPr>
        <w:t xml:space="preserve">Furthermore, the allocation of the budget for the PBB is </w:t>
      </w:r>
      <w:r w:rsidRPr="0093282A">
        <w:rPr>
          <w:rFonts w:ascii="Arial" w:hAnsi="Arial" w:cs="Arial"/>
          <w:bCs/>
        </w:rPr>
        <w:t xml:space="preserve">in accordance with all other applicable laws, rules and regulations. </w:t>
      </w:r>
    </w:p>
    <w:p w:rsidR="00D8538D" w:rsidRDefault="00D8538D" w:rsidP="00D8538D">
      <w:pPr>
        <w:numPr>
          <w:ilvl w:val="0"/>
          <w:numId w:val="3"/>
        </w:numPr>
        <w:spacing w:after="200"/>
        <w:jc w:val="both"/>
        <w:rPr>
          <w:rFonts w:ascii="Arial" w:hAnsi="Arial" w:cs="Arial"/>
        </w:rPr>
      </w:pPr>
      <w:r w:rsidRPr="0093282A">
        <w:rPr>
          <w:rFonts w:ascii="Arial" w:hAnsi="Arial" w:cs="Arial"/>
        </w:rPr>
        <w:t xml:space="preserve">That </w:t>
      </w:r>
      <w:r w:rsidRPr="00DA7E4E">
        <w:rPr>
          <w:rFonts w:ascii="Arial" w:hAnsi="Arial"/>
          <w:highlight w:val="yellow"/>
        </w:rPr>
        <w:t>[</w:t>
      </w:r>
      <w:r w:rsidRPr="00DA7E4E">
        <w:rPr>
          <w:rFonts w:ascii="Arial" w:hAnsi="Arial"/>
          <w:b/>
          <w:smallCaps/>
          <w:highlight w:val="yellow"/>
        </w:rPr>
        <w:t>amount in words based on 201</w:t>
      </w:r>
      <w:r w:rsidR="00DA7E4E" w:rsidRPr="00DA7E4E">
        <w:rPr>
          <w:rFonts w:ascii="Arial" w:hAnsi="Arial"/>
          <w:b/>
          <w:smallCaps/>
          <w:highlight w:val="yellow"/>
        </w:rPr>
        <w:t>4</w:t>
      </w:r>
      <w:r w:rsidRPr="00DA7E4E">
        <w:rPr>
          <w:rFonts w:ascii="Arial" w:hAnsi="Arial"/>
          <w:b/>
          <w:smallCaps/>
          <w:highlight w:val="yellow"/>
        </w:rPr>
        <w:t xml:space="preserve"> PBB Form 3</w:t>
      </w:r>
      <w:r w:rsidRPr="00DA7E4E">
        <w:rPr>
          <w:rFonts w:ascii="Arial" w:hAnsi="Arial"/>
          <w:highlight w:val="yellow"/>
        </w:rPr>
        <w:t>] (</w:t>
      </w:r>
      <w:r w:rsidRPr="00DA7E4E">
        <w:rPr>
          <w:rFonts w:ascii="Arial" w:hAnsi="Arial"/>
          <w:dstrike/>
          <w:highlight w:val="yellow"/>
        </w:rPr>
        <w:t>P</w:t>
      </w:r>
      <w:r w:rsidRPr="00DA7E4E">
        <w:rPr>
          <w:rFonts w:ascii="Arial" w:hAnsi="Arial"/>
          <w:highlight w:val="yellow"/>
        </w:rPr>
        <w:t>_)</w:t>
      </w:r>
      <w:r w:rsidRPr="0093282A">
        <w:rPr>
          <w:rFonts w:ascii="Arial" w:hAnsi="Arial" w:cs="Arial"/>
        </w:rPr>
        <w:t xml:space="preserve"> is available for the grant of the PBB for CY 201</w:t>
      </w:r>
      <w:r w:rsidR="00DA7E4E">
        <w:rPr>
          <w:rFonts w:ascii="Arial" w:hAnsi="Arial" w:cs="Arial"/>
        </w:rPr>
        <w:t>4</w:t>
      </w:r>
      <w:r w:rsidRPr="0093282A">
        <w:rPr>
          <w:rFonts w:ascii="Arial" w:hAnsi="Arial" w:cs="Arial"/>
        </w:rPr>
        <w:t xml:space="preserve">, as approved under </w:t>
      </w:r>
      <w:r w:rsidRPr="00DA7E4E">
        <w:rPr>
          <w:rFonts w:ascii="Arial" w:hAnsi="Arial" w:cs="Arial"/>
          <w:highlight w:val="yellow"/>
        </w:rPr>
        <w:t>Board Resolution No. _, s. _</w:t>
      </w:r>
      <w:r w:rsidRPr="0093282A">
        <w:rPr>
          <w:rFonts w:ascii="Arial" w:hAnsi="Arial" w:cs="Arial"/>
        </w:rPr>
        <w:t xml:space="preserve"> and confirmed by </w:t>
      </w:r>
      <w:r w:rsidRPr="00DA7E4E">
        <w:rPr>
          <w:rFonts w:ascii="Arial" w:hAnsi="Arial" w:cs="Arial"/>
          <w:highlight w:val="yellow"/>
        </w:rPr>
        <w:t>[</w:t>
      </w:r>
      <w:r w:rsidRPr="00DA7E4E">
        <w:rPr>
          <w:rFonts w:ascii="Arial" w:hAnsi="Arial" w:cs="Arial"/>
          <w:b/>
          <w:highlight w:val="yellow"/>
        </w:rPr>
        <w:t>Head of Finance</w:t>
      </w:r>
      <w:r w:rsidRPr="00DA7E4E">
        <w:rPr>
          <w:rFonts w:ascii="Arial" w:hAnsi="Arial" w:cs="Arial"/>
          <w:highlight w:val="yellow"/>
        </w:rPr>
        <w:t>].</w:t>
      </w:r>
    </w:p>
    <w:p w:rsidR="00301FF5" w:rsidRPr="0093282A" w:rsidRDefault="00301FF5" w:rsidP="00D8538D">
      <w:pPr>
        <w:numPr>
          <w:ilvl w:val="0"/>
          <w:numId w:val="3"/>
        </w:numPr>
        <w:spacing w:after="200"/>
        <w:jc w:val="both"/>
        <w:rPr>
          <w:rFonts w:ascii="Arial" w:hAnsi="Arial" w:cs="Arial"/>
        </w:rPr>
      </w:pPr>
      <w:bookmarkStart w:id="0" w:name="_GoBack"/>
      <w:r>
        <w:rPr>
          <w:rFonts w:ascii="Arial" w:hAnsi="Arial" w:cs="Arial"/>
        </w:rPr>
        <w:t xml:space="preserve">That no Performance-Based Bonus or its equivalent have been granted to the Officers and Employees for their performance in CY 2014, nor are there any plans of granting such without the prior authorization of the Governance Commission. </w:t>
      </w:r>
    </w:p>
    <w:bookmarkEnd w:id="0"/>
    <w:p w:rsidR="00D8538D" w:rsidRPr="0093282A" w:rsidRDefault="00D8538D" w:rsidP="00D8538D">
      <w:pPr>
        <w:spacing w:before="360"/>
        <w:ind w:firstLine="540"/>
        <w:jc w:val="both"/>
        <w:rPr>
          <w:rFonts w:ascii="Arial" w:hAnsi="Arial" w:cs="Arial"/>
        </w:rPr>
      </w:pPr>
      <w:r w:rsidRPr="0093282A">
        <w:rPr>
          <w:rFonts w:ascii="Arial" w:hAnsi="Arial" w:cs="Arial"/>
        </w:rPr>
        <w:t xml:space="preserve">This certification is being issued to attest the truth and accuracy of all the information contained herein based on our personal knowledge, available records and information that can be easily verified with </w:t>
      </w:r>
      <w:r w:rsidRPr="00DA7E4E">
        <w:rPr>
          <w:rFonts w:ascii="Arial" w:hAnsi="Arial" w:cs="Arial"/>
          <w:highlight w:val="yellow"/>
        </w:rPr>
        <w:t>[GOCC Acronym].</w:t>
      </w:r>
    </w:p>
    <w:p w:rsidR="00D8538D" w:rsidRPr="0093282A" w:rsidRDefault="00D8538D" w:rsidP="00D8538D">
      <w:pPr>
        <w:spacing w:before="360" w:after="360"/>
        <w:ind w:firstLine="547"/>
        <w:jc w:val="both"/>
        <w:rPr>
          <w:rFonts w:ascii="Arial" w:hAnsi="Arial" w:cs="Arial"/>
        </w:rPr>
      </w:pPr>
      <w:r w:rsidRPr="0093282A">
        <w:rPr>
          <w:rFonts w:ascii="Arial" w:hAnsi="Arial" w:cs="Arial"/>
          <w:b/>
        </w:rPr>
        <w:t>DONE</w:t>
      </w:r>
      <w:r w:rsidRPr="0093282A">
        <w:rPr>
          <w:rFonts w:ascii="Arial" w:hAnsi="Arial" w:cs="Arial"/>
        </w:rPr>
        <w:t>, this</w:t>
      </w:r>
      <w:r>
        <w:rPr>
          <w:rFonts w:ascii="Arial" w:hAnsi="Arial" w:cs="Arial"/>
        </w:rPr>
        <w:t xml:space="preserve"> _____ day of _____________ 201</w:t>
      </w:r>
      <w:r w:rsidR="00DA7E4E">
        <w:rPr>
          <w:rFonts w:ascii="Arial" w:hAnsi="Arial" w:cs="Arial"/>
        </w:rPr>
        <w:t>5</w:t>
      </w:r>
      <w:r w:rsidRPr="0093282A">
        <w:rPr>
          <w:rFonts w:ascii="Arial" w:hAnsi="Arial" w:cs="Arial"/>
        </w:rPr>
        <w:t xml:space="preserve"> at </w:t>
      </w:r>
      <w:r w:rsidRPr="00DA7E4E">
        <w:rPr>
          <w:rFonts w:ascii="Arial" w:hAnsi="Arial" w:cs="Arial"/>
          <w:highlight w:val="yellow"/>
        </w:rPr>
        <w:t>[City/Municipality, Province]</w:t>
      </w:r>
      <w:r w:rsidRPr="0093282A">
        <w:rPr>
          <w:rFonts w:ascii="Arial" w:hAnsi="Arial" w:cs="Arial"/>
        </w:rPr>
        <w:t>, Philippines.</w:t>
      </w:r>
    </w:p>
    <w:tbl>
      <w:tblPr>
        <w:tblW w:w="9061" w:type="dxa"/>
        <w:jc w:val="center"/>
        <w:tblLook w:val="04A0" w:firstRow="1" w:lastRow="0" w:firstColumn="1" w:lastColumn="0" w:noHBand="0" w:noVBand="1"/>
      </w:tblPr>
      <w:tblGrid>
        <w:gridCol w:w="4363"/>
        <w:gridCol w:w="335"/>
        <w:gridCol w:w="4363"/>
      </w:tblGrid>
      <w:tr w:rsidR="00D8538D" w:rsidRPr="0093282A" w:rsidTr="00390BEB">
        <w:trPr>
          <w:jc w:val="center"/>
        </w:trPr>
        <w:tc>
          <w:tcPr>
            <w:tcW w:w="4363" w:type="dxa"/>
            <w:tcBorders>
              <w:bottom w:val="single" w:sz="4" w:space="0" w:color="auto"/>
            </w:tcBorders>
          </w:tcPr>
          <w:p w:rsidR="00D8538D" w:rsidRPr="0093282A" w:rsidRDefault="00D8538D" w:rsidP="00390BEB">
            <w:pPr>
              <w:jc w:val="both"/>
              <w:rPr>
                <w:rFonts w:ascii="Arial" w:hAnsi="Arial" w:cs="Arial"/>
                <w:b/>
              </w:rPr>
            </w:pPr>
          </w:p>
          <w:p w:rsidR="00D8538D" w:rsidRPr="0093282A" w:rsidRDefault="00D8538D" w:rsidP="00390BEB">
            <w:pPr>
              <w:jc w:val="both"/>
              <w:rPr>
                <w:rFonts w:ascii="Arial" w:hAnsi="Arial" w:cs="Arial"/>
                <w:b/>
              </w:rPr>
            </w:pPr>
          </w:p>
        </w:tc>
        <w:tc>
          <w:tcPr>
            <w:tcW w:w="335" w:type="dxa"/>
          </w:tcPr>
          <w:p w:rsidR="00D8538D" w:rsidRPr="0093282A" w:rsidRDefault="00D8538D" w:rsidP="00390BEB">
            <w:pPr>
              <w:jc w:val="both"/>
              <w:rPr>
                <w:rFonts w:ascii="Arial" w:hAnsi="Arial" w:cs="Arial"/>
                <w:b/>
              </w:rPr>
            </w:pPr>
          </w:p>
        </w:tc>
        <w:tc>
          <w:tcPr>
            <w:tcW w:w="4363" w:type="dxa"/>
            <w:tcBorders>
              <w:bottom w:val="single" w:sz="4" w:space="0" w:color="auto"/>
            </w:tcBorders>
          </w:tcPr>
          <w:p w:rsidR="00D8538D" w:rsidRPr="0093282A" w:rsidRDefault="00D8538D" w:rsidP="00390BEB">
            <w:pPr>
              <w:jc w:val="both"/>
              <w:rPr>
                <w:rFonts w:ascii="Arial" w:hAnsi="Arial" w:cs="Arial"/>
                <w:b/>
              </w:rPr>
            </w:pPr>
          </w:p>
          <w:p w:rsidR="00D8538D" w:rsidRPr="0093282A" w:rsidRDefault="00D8538D" w:rsidP="00390BEB">
            <w:pPr>
              <w:jc w:val="both"/>
              <w:rPr>
                <w:rFonts w:ascii="Arial" w:hAnsi="Arial" w:cs="Arial"/>
                <w:b/>
              </w:rPr>
            </w:pPr>
          </w:p>
          <w:p w:rsidR="00D8538D" w:rsidRPr="0093282A" w:rsidRDefault="00D8538D" w:rsidP="00390BEB">
            <w:pPr>
              <w:jc w:val="both"/>
              <w:rPr>
                <w:rFonts w:ascii="Arial" w:hAnsi="Arial" w:cs="Arial"/>
                <w:b/>
              </w:rPr>
            </w:pPr>
          </w:p>
        </w:tc>
      </w:tr>
      <w:tr w:rsidR="00D8538D" w:rsidRPr="0093282A" w:rsidTr="00390BEB">
        <w:trPr>
          <w:jc w:val="center"/>
        </w:trPr>
        <w:tc>
          <w:tcPr>
            <w:tcW w:w="4363" w:type="dxa"/>
            <w:tcBorders>
              <w:top w:val="single" w:sz="4" w:space="0" w:color="auto"/>
            </w:tcBorders>
          </w:tcPr>
          <w:p w:rsidR="00D8538D" w:rsidRPr="0093282A" w:rsidRDefault="00D8538D" w:rsidP="00390BEB">
            <w:pPr>
              <w:jc w:val="center"/>
              <w:rPr>
                <w:rFonts w:ascii="Arial" w:hAnsi="Arial" w:cs="Arial"/>
                <w:b/>
              </w:rPr>
            </w:pPr>
            <w:r w:rsidRPr="0093282A">
              <w:rPr>
                <w:rFonts w:ascii="Arial" w:hAnsi="Arial" w:cs="Arial"/>
                <w:b/>
              </w:rPr>
              <w:t xml:space="preserve">Chairperson, Board of Directors </w:t>
            </w:r>
          </w:p>
        </w:tc>
        <w:tc>
          <w:tcPr>
            <w:tcW w:w="335" w:type="dxa"/>
          </w:tcPr>
          <w:p w:rsidR="00D8538D" w:rsidRPr="0093282A" w:rsidRDefault="00D8538D" w:rsidP="00390BEB">
            <w:pPr>
              <w:jc w:val="both"/>
              <w:rPr>
                <w:rFonts w:ascii="Arial" w:hAnsi="Arial" w:cs="Arial"/>
                <w:b/>
              </w:rPr>
            </w:pPr>
          </w:p>
        </w:tc>
        <w:tc>
          <w:tcPr>
            <w:tcW w:w="4363" w:type="dxa"/>
            <w:tcBorders>
              <w:top w:val="single" w:sz="4" w:space="0" w:color="auto"/>
            </w:tcBorders>
          </w:tcPr>
          <w:p w:rsidR="00D8538D" w:rsidRPr="0093282A" w:rsidRDefault="00D8538D" w:rsidP="00390BEB">
            <w:pPr>
              <w:jc w:val="center"/>
              <w:rPr>
                <w:rFonts w:ascii="Arial" w:hAnsi="Arial" w:cs="Arial"/>
                <w:b/>
              </w:rPr>
            </w:pPr>
            <w:r w:rsidRPr="0093282A">
              <w:rPr>
                <w:rFonts w:ascii="Arial" w:hAnsi="Arial" w:cs="Arial"/>
                <w:b/>
              </w:rPr>
              <w:t xml:space="preserve">Chief Executive Officer </w:t>
            </w:r>
          </w:p>
        </w:tc>
      </w:tr>
      <w:tr w:rsidR="00D8538D" w:rsidRPr="0093282A" w:rsidTr="00390BEB">
        <w:trPr>
          <w:trHeight w:val="945"/>
          <w:jc w:val="center"/>
        </w:trPr>
        <w:tc>
          <w:tcPr>
            <w:tcW w:w="4363" w:type="dxa"/>
            <w:tcBorders>
              <w:bottom w:val="single" w:sz="4" w:space="0" w:color="auto"/>
            </w:tcBorders>
          </w:tcPr>
          <w:p w:rsidR="00D8538D" w:rsidRPr="0093282A" w:rsidRDefault="00D8538D" w:rsidP="00390BEB">
            <w:pPr>
              <w:jc w:val="both"/>
              <w:rPr>
                <w:rFonts w:ascii="Arial" w:hAnsi="Arial" w:cs="Arial"/>
                <w:b/>
              </w:rPr>
            </w:pPr>
          </w:p>
        </w:tc>
        <w:tc>
          <w:tcPr>
            <w:tcW w:w="335" w:type="dxa"/>
          </w:tcPr>
          <w:p w:rsidR="00D8538D" w:rsidRPr="0093282A" w:rsidRDefault="00D8538D" w:rsidP="00390BEB">
            <w:pPr>
              <w:jc w:val="both"/>
              <w:rPr>
                <w:rFonts w:ascii="Arial" w:hAnsi="Arial" w:cs="Arial"/>
                <w:b/>
              </w:rPr>
            </w:pPr>
          </w:p>
        </w:tc>
        <w:tc>
          <w:tcPr>
            <w:tcW w:w="4363" w:type="dxa"/>
            <w:tcBorders>
              <w:bottom w:val="single" w:sz="4" w:space="0" w:color="auto"/>
            </w:tcBorders>
          </w:tcPr>
          <w:p w:rsidR="00D8538D" w:rsidRPr="0093282A" w:rsidRDefault="00D8538D" w:rsidP="00390BEB">
            <w:pPr>
              <w:jc w:val="both"/>
              <w:rPr>
                <w:rFonts w:ascii="Arial" w:hAnsi="Arial" w:cs="Arial"/>
                <w:b/>
              </w:rPr>
            </w:pPr>
          </w:p>
          <w:p w:rsidR="00D8538D" w:rsidRPr="0093282A" w:rsidRDefault="00D8538D" w:rsidP="00390BEB">
            <w:pPr>
              <w:jc w:val="both"/>
              <w:rPr>
                <w:rFonts w:ascii="Arial" w:hAnsi="Arial" w:cs="Arial"/>
                <w:b/>
              </w:rPr>
            </w:pPr>
          </w:p>
          <w:p w:rsidR="00D8538D" w:rsidRPr="0093282A" w:rsidRDefault="00D8538D" w:rsidP="00390BEB">
            <w:pPr>
              <w:jc w:val="both"/>
              <w:rPr>
                <w:rFonts w:ascii="Arial" w:hAnsi="Arial" w:cs="Arial"/>
                <w:b/>
              </w:rPr>
            </w:pPr>
          </w:p>
        </w:tc>
      </w:tr>
      <w:tr w:rsidR="00D8538D" w:rsidRPr="0093282A" w:rsidTr="00390BEB">
        <w:trPr>
          <w:jc w:val="center"/>
        </w:trPr>
        <w:tc>
          <w:tcPr>
            <w:tcW w:w="4363" w:type="dxa"/>
            <w:tcBorders>
              <w:top w:val="single" w:sz="4" w:space="0" w:color="auto"/>
            </w:tcBorders>
          </w:tcPr>
          <w:p w:rsidR="00D8538D" w:rsidRPr="0093282A" w:rsidRDefault="00D8538D" w:rsidP="00390BEB">
            <w:pPr>
              <w:jc w:val="center"/>
              <w:rPr>
                <w:rFonts w:ascii="Arial" w:hAnsi="Arial" w:cs="Arial"/>
                <w:b/>
              </w:rPr>
            </w:pPr>
            <w:r w:rsidRPr="0093282A">
              <w:rPr>
                <w:rFonts w:ascii="Arial" w:hAnsi="Arial" w:cs="Arial"/>
                <w:b/>
              </w:rPr>
              <w:t>Compliance Officer / Corporate Secretary</w:t>
            </w:r>
          </w:p>
        </w:tc>
        <w:tc>
          <w:tcPr>
            <w:tcW w:w="335" w:type="dxa"/>
          </w:tcPr>
          <w:p w:rsidR="00D8538D" w:rsidRPr="0093282A" w:rsidRDefault="00D8538D" w:rsidP="00390BEB">
            <w:pPr>
              <w:jc w:val="both"/>
              <w:rPr>
                <w:rFonts w:ascii="Arial" w:hAnsi="Arial" w:cs="Arial"/>
                <w:b/>
              </w:rPr>
            </w:pPr>
          </w:p>
        </w:tc>
        <w:tc>
          <w:tcPr>
            <w:tcW w:w="4363" w:type="dxa"/>
            <w:tcBorders>
              <w:top w:val="single" w:sz="4" w:space="0" w:color="auto"/>
            </w:tcBorders>
          </w:tcPr>
          <w:p w:rsidR="00D8538D" w:rsidRPr="0093282A" w:rsidRDefault="00D8538D" w:rsidP="00390BEB">
            <w:pPr>
              <w:jc w:val="center"/>
              <w:rPr>
                <w:rFonts w:ascii="Arial" w:hAnsi="Arial" w:cs="Arial"/>
                <w:b/>
              </w:rPr>
            </w:pPr>
            <w:r w:rsidRPr="0093282A">
              <w:rPr>
                <w:rFonts w:ascii="Arial" w:hAnsi="Arial" w:cs="Arial"/>
                <w:b/>
              </w:rPr>
              <w:t>Head of Finance</w:t>
            </w:r>
          </w:p>
        </w:tc>
      </w:tr>
      <w:tr w:rsidR="00D8538D" w:rsidRPr="0093282A" w:rsidTr="00DA7E4E">
        <w:trPr>
          <w:trHeight w:val="950"/>
          <w:jc w:val="center"/>
        </w:trPr>
        <w:tc>
          <w:tcPr>
            <w:tcW w:w="4363" w:type="dxa"/>
            <w:tcBorders>
              <w:bottom w:val="single" w:sz="4" w:space="0" w:color="auto"/>
            </w:tcBorders>
          </w:tcPr>
          <w:p w:rsidR="00D8538D" w:rsidRPr="0093282A" w:rsidRDefault="00D8538D" w:rsidP="00390BEB">
            <w:pPr>
              <w:jc w:val="both"/>
              <w:rPr>
                <w:rFonts w:ascii="Arial" w:hAnsi="Arial" w:cs="Arial"/>
                <w:b/>
              </w:rPr>
            </w:pPr>
          </w:p>
        </w:tc>
        <w:tc>
          <w:tcPr>
            <w:tcW w:w="335" w:type="dxa"/>
          </w:tcPr>
          <w:p w:rsidR="00D8538D" w:rsidRPr="0093282A" w:rsidRDefault="00D8538D" w:rsidP="00390BEB">
            <w:pPr>
              <w:jc w:val="both"/>
              <w:rPr>
                <w:rFonts w:ascii="Arial" w:hAnsi="Arial" w:cs="Arial"/>
                <w:b/>
              </w:rPr>
            </w:pPr>
          </w:p>
        </w:tc>
        <w:tc>
          <w:tcPr>
            <w:tcW w:w="4363" w:type="dxa"/>
            <w:tcBorders>
              <w:bottom w:val="single" w:sz="4" w:space="0" w:color="auto"/>
            </w:tcBorders>
          </w:tcPr>
          <w:p w:rsidR="00D8538D" w:rsidRPr="0093282A" w:rsidRDefault="00D8538D" w:rsidP="00390BEB">
            <w:pPr>
              <w:jc w:val="both"/>
              <w:rPr>
                <w:rFonts w:ascii="Arial" w:hAnsi="Arial" w:cs="Arial"/>
                <w:b/>
              </w:rPr>
            </w:pPr>
          </w:p>
        </w:tc>
      </w:tr>
      <w:tr w:rsidR="00D8538D" w:rsidRPr="0093282A" w:rsidTr="00390BEB">
        <w:trPr>
          <w:jc w:val="center"/>
        </w:trPr>
        <w:tc>
          <w:tcPr>
            <w:tcW w:w="4363" w:type="dxa"/>
            <w:tcBorders>
              <w:top w:val="single" w:sz="4" w:space="0" w:color="auto"/>
            </w:tcBorders>
          </w:tcPr>
          <w:p w:rsidR="00D8538D" w:rsidRPr="0093282A" w:rsidRDefault="00D8538D" w:rsidP="00390BEB">
            <w:pPr>
              <w:jc w:val="center"/>
              <w:rPr>
                <w:rFonts w:ascii="Arial" w:hAnsi="Arial" w:cs="Arial"/>
                <w:b/>
              </w:rPr>
            </w:pPr>
            <w:r w:rsidRPr="0093282A">
              <w:rPr>
                <w:rFonts w:ascii="Arial" w:hAnsi="Arial" w:cs="Arial"/>
                <w:b/>
              </w:rPr>
              <w:t>Head of Budget</w:t>
            </w:r>
          </w:p>
        </w:tc>
        <w:tc>
          <w:tcPr>
            <w:tcW w:w="335" w:type="dxa"/>
          </w:tcPr>
          <w:p w:rsidR="00D8538D" w:rsidRPr="0093282A" w:rsidRDefault="00D8538D" w:rsidP="00390BEB">
            <w:pPr>
              <w:jc w:val="both"/>
              <w:rPr>
                <w:rFonts w:ascii="Arial" w:hAnsi="Arial" w:cs="Arial"/>
                <w:b/>
              </w:rPr>
            </w:pPr>
          </w:p>
        </w:tc>
        <w:tc>
          <w:tcPr>
            <w:tcW w:w="4363" w:type="dxa"/>
            <w:tcBorders>
              <w:top w:val="single" w:sz="4" w:space="0" w:color="auto"/>
            </w:tcBorders>
          </w:tcPr>
          <w:p w:rsidR="00D8538D" w:rsidRPr="0093282A" w:rsidRDefault="00D8538D" w:rsidP="00390BEB">
            <w:pPr>
              <w:jc w:val="center"/>
              <w:rPr>
                <w:rFonts w:ascii="Arial" w:hAnsi="Arial" w:cs="Arial"/>
                <w:b/>
              </w:rPr>
            </w:pPr>
            <w:r w:rsidRPr="0093282A">
              <w:rPr>
                <w:rFonts w:ascii="Arial" w:hAnsi="Arial" w:cs="Arial"/>
                <w:b/>
              </w:rPr>
              <w:t>Head of Planning</w:t>
            </w:r>
          </w:p>
        </w:tc>
      </w:tr>
      <w:tr w:rsidR="00D8538D" w:rsidRPr="0093282A" w:rsidTr="00DA7E4E">
        <w:trPr>
          <w:trHeight w:val="950"/>
          <w:jc w:val="center"/>
        </w:trPr>
        <w:tc>
          <w:tcPr>
            <w:tcW w:w="4363" w:type="dxa"/>
            <w:tcBorders>
              <w:bottom w:val="single" w:sz="4" w:space="0" w:color="auto"/>
            </w:tcBorders>
            <w:vAlign w:val="bottom"/>
          </w:tcPr>
          <w:p w:rsidR="00D8538D" w:rsidRPr="0093282A" w:rsidRDefault="00D8538D" w:rsidP="00390BEB">
            <w:pPr>
              <w:jc w:val="center"/>
              <w:rPr>
                <w:rFonts w:ascii="Arial" w:hAnsi="Arial" w:cs="Arial"/>
                <w:b/>
              </w:rPr>
            </w:pPr>
          </w:p>
        </w:tc>
        <w:tc>
          <w:tcPr>
            <w:tcW w:w="335" w:type="dxa"/>
          </w:tcPr>
          <w:p w:rsidR="00D8538D" w:rsidRPr="0093282A" w:rsidRDefault="00D8538D" w:rsidP="00390BEB">
            <w:pPr>
              <w:jc w:val="both"/>
              <w:rPr>
                <w:rFonts w:ascii="Arial" w:hAnsi="Arial" w:cs="Arial"/>
                <w:b/>
              </w:rPr>
            </w:pPr>
          </w:p>
        </w:tc>
        <w:tc>
          <w:tcPr>
            <w:tcW w:w="4363" w:type="dxa"/>
          </w:tcPr>
          <w:p w:rsidR="00D8538D" w:rsidRPr="0093282A" w:rsidRDefault="00D8538D" w:rsidP="00390BEB">
            <w:pPr>
              <w:jc w:val="center"/>
              <w:rPr>
                <w:rFonts w:ascii="Arial" w:hAnsi="Arial" w:cs="Arial"/>
                <w:b/>
              </w:rPr>
            </w:pPr>
          </w:p>
        </w:tc>
      </w:tr>
      <w:tr w:rsidR="00D8538D" w:rsidRPr="0093282A" w:rsidTr="00390BEB">
        <w:trPr>
          <w:trHeight w:val="530"/>
          <w:jc w:val="center"/>
        </w:trPr>
        <w:tc>
          <w:tcPr>
            <w:tcW w:w="4363" w:type="dxa"/>
            <w:tcBorders>
              <w:top w:val="single" w:sz="4" w:space="0" w:color="auto"/>
            </w:tcBorders>
            <w:vAlign w:val="bottom"/>
          </w:tcPr>
          <w:p w:rsidR="00D8538D" w:rsidRPr="0093282A" w:rsidRDefault="00D8538D" w:rsidP="00390BEB">
            <w:pPr>
              <w:jc w:val="center"/>
              <w:rPr>
                <w:rFonts w:ascii="Arial" w:hAnsi="Arial" w:cs="Arial"/>
                <w:b/>
              </w:rPr>
            </w:pPr>
            <w:r w:rsidRPr="0093282A">
              <w:rPr>
                <w:rFonts w:ascii="Arial" w:hAnsi="Arial" w:cs="Arial"/>
                <w:b/>
              </w:rPr>
              <w:t>Chairman, Bids and Awards Committee</w:t>
            </w:r>
          </w:p>
        </w:tc>
        <w:tc>
          <w:tcPr>
            <w:tcW w:w="335" w:type="dxa"/>
          </w:tcPr>
          <w:p w:rsidR="00D8538D" w:rsidRPr="0093282A" w:rsidRDefault="00D8538D" w:rsidP="00390BEB">
            <w:pPr>
              <w:jc w:val="both"/>
              <w:rPr>
                <w:rFonts w:ascii="Arial" w:hAnsi="Arial" w:cs="Arial"/>
                <w:b/>
              </w:rPr>
            </w:pPr>
          </w:p>
        </w:tc>
        <w:tc>
          <w:tcPr>
            <w:tcW w:w="4363" w:type="dxa"/>
          </w:tcPr>
          <w:p w:rsidR="00D8538D" w:rsidRPr="0093282A" w:rsidRDefault="00D8538D" w:rsidP="00390BEB">
            <w:pPr>
              <w:jc w:val="center"/>
              <w:rPr>
                <w:rFonts w:ascii="Arial" w:hAnsi="Arial" w:cs="Arial"/>
                <w:b/>
              </w:rPr>
            </w:pPr>
          </w:p>
        </w:tc>
      </w:tr>
    </w:tbl>
    <w:p w:rsidR="00D8538D" w:rsidRPr="0093282A" w:rsidRDefault="00D8538D" w:rsidP="00D8538D">
      <w:pPr>
        <w:jc w:val="both"/>
        <w:rPr>
          <w:rFonts w:ascii="Arial" w:hAnsi="Arial" w:cs="Arial"/>
        </w:rPr>
      </w:pPr>
    </w:p>
    <w:p w:rsidR="00DA7E4E" w:rsidRPr="00F562A6" w:rsidRDefault="00DA7E4E" w:rsidP="00DA7E4E">
      <w:pPr>
        <w:tabs>
          <w:tab w:val="left" w:pos="1260"/>
        </w:tabs>
        <w:jc w:val="both"/>
        <w:rPr>
          <w:rFonts w:ascii="Arial" w:hAnsi="Arial" w:cs="Arial"/>
        </w:rPr>
      </w:pPr>
      <w:r w:rsidRPr="00F562A6">
        <w:rPr>
          <w:rFonts w:ascii="Arial" w:hAnsi="Arial" w:cs="Arial"/>
        </w:rPr>
        <w:lastRenderedPageBreak/>
        <w:t xml:space="preserve">SUBSCRIBED AND SWORN to before </w:t>
      </w:r>
      <w:proofErr w:type="gramStart"/>
      <w:r w:rsidRPr="00F562A6">
        <w:rPr>
          <w:rFonts w:ascii="Arial" w:hAnsi="Arial" w:cs="Arial"/>
        </w:rPr>
        <w:t>me</w:t>
      </w:r>
      <w:proofErr w:type="gramEnd"/>
      <w:r w:rsidRPr="00F562A6">
        <w:rPr>
          <w:rFonts w:ascii="Arial" w:hAnsi="Arial" w:cs="Arial"/>
        </w:rPr>
        <w:t xml:space="preserve"> this ____ day of ______________ 2015, Affiant exhibited to me his ___________________________, a government-issued ID with number ___________________, bearing his photo and signature, expiring on ____________________.</w:t>
      </w:r>
    </w:p>
    <w:p w:rsidR="00DA7E4E" w:rsidRPr="00F562A6" w:rsidRDefault="00DA7E4E" w:rsidP="00DA7E4E">
      <w:pPr>
        <w:tabs>
          <w:tab w:val="left" w:pos="1260"/>
        </w:tabs>
        <w:jc w:val="both"/>
        <w:rPr>
          <w:rFonts w:ascii="Arial" w:hAnsi="Arial" w:cs="Arial"/>
        </w:rPr>
      </w:pPr>
    </w:p>
    <w:p w:rsidR="00DA7E4E" w:rsidRPr="00F562A6" w:rsidRDefault="00DA7E4E" w:rsidP="00DA7E4E">
      <w:pPr>
        <w:tabs>
          <w:tab w:val="left" w:pos="1260"/>
        </w:tabs>
        <w:jc w:val="both"/>
        <w:rPr>
          <w:rFonts w:ascii="Arial" w:hAnsi="Arial" w:cs="Arial"/>
        </w:rPr>
      </w:pPr>
      <w:proofErr w:type="gramStart"/>
      <w:r w:rsidRPr="00F562A6">
        <w:rPr>
          <w:rFonts w:ascii="Arial" w:hAnsi="Arial" w:cs="Arial"/>
        </w:rPr>
        <w:t>Doc. No.</w:t>
      </w:r>
      <w:proofErr w:type="gramEnd"/>
      <w:r w:rsidRPr="00F562A6">
        <w:rPr>
          <w:rFonts w:ascii="Arial" w:hAnsi="Arial" w:cs="Arial"/>
        </w:rPr>
        <w:tab/>
        <w:t>_________;</w:t>
      </w:r>
    </w:p>
    <w:p w:rsidR="00DA7E4E" w:rsidRPr="00F562A6" w:rsidRDefault="00DA7E4E" w:rsidP="00DA7E4E">
      <w:pPr>
        <w:tabs>
          <w:tab w:val="left" w:pos="1260"/>
        </w:tabs>
        <w:jc w:val="both"/>
        <w:rPr>
          <w:rFonts w:ascii="Arial" w:hAnsi="Arial" w:cs="Arial"/>
        </w:rPr>
      </w:pPr>
      <w:r w:rsidRPr="00F562A6">
        <w:rPr>
          <w:rFonts w:ascii="Arial" w:hAnsi="Arial" w:cs="Arial"/>
        </w:rPr>
        <w:t>Page No.</w:t>
      </w:r>
      <w:r w:rsidRPr="00F562A6">
        <w:rPr>
          <w:rFonts w:ascii="Arial" w:hAnsi="Arial" w:cs="Arial"/>
        </w:rPr>
        <w:tab/>
        <w:t>_________;</w:t>
      </w:r>
    </w:p>
    <w:p w:rsidR="00DA7E4E" w:rsidRPr="00F562A6" w:rsidRDefault="00DA7E4E" w:rsidP="00DA7E4E">
      <w:pPr>
        <w:tabs>
          <w:tab w:val="left" w:pos="1260"/>
        </w:tabs>
        <w:jc w:val="both"/>
        <w:rPr>
          <w:rFonts w:ascii="Arial" w:hAnsi="Arial" w:cs="Arial"/>
        </w:rPr>
      </w:pPr>
      <w:proofErr w:type="gramStart"/>
      <w:r w:rsidRPr="00F562A6">
        <w:rPr>
          <w:rFonts w:ascii="Arial" w:hAnsi="Arial" w:cs="Arial"/>
        </w:rPr>
        <w:t>Book No.</w:t>
      </w:r>
      <w:proofErr w:type="gramEnd"/>
      <w:r w:rsidRPr="00F562A6">
        <w:rPr>
          <w:rFonts w:ascii="Arial" w:hAnsi="Arial" w:cs="Arial"/>
        </w:rPr>
        <w:tab/>
        <w:t>_________;</w:t>
      </w:r>
    </w:p>
    <w:p w:rsidR="00E1180D" w:rsidRDefault="00DA7E4E" w:rsidP="00DA7E4E">
      <w:pPr>
        <w:tabs>
          <w:tab w:val="left" w:pos="720"/>
          <w:tab w:val="left" w:pos="1440"/>
          <w:tab w:val="left" w:pos="2160"/>
          <w:tab w:val="left" w:pos="2880"/>
          <w:tab w:val="left" w:pos="3600"/>
          <w:tab w:val="left" w:pos="4320"/>
          <w:tab w:val="left" w:pos="5040"/>
          <w:tab w:val="left" w:pos="5760"/>
          <w:tab w:val="left" w:pos="6480"/>
          <w:tab w:val="left" w:pos="7200"/>
          <w:tab w:val="left" w:pos="9435"/>
        </w:tabs>
      </w:pPr>
      <w:proofErr w:type="gramStart"/>
      <w:r w:rsidRPr="00F562A6">
        <w:rPr>
          <w:rFonts w:ascii="Arial" w:hAnsi="Arial" w:cs="Arial"/>
        </w:rPr>
        <w:t>Series of 2015.</w:t>
      </w:r>
      <w:proofErr w:type="gramEnd"/>
    </w:p>
    <w:sectPr w:rsidR="00E1180D" w:rsidSect="00DA7E4E">
      <w:headerReference w:type="default" r:id="rId10"/>
      <w:headerReference w:type="first" r:id="rId11"/>
      <w:pgSz w:w="11907" w:h="16839" w:code="9"/>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31" w:rsidRDefault="00BC1E31">
      <w:r>
        <w:separator/>
      </w:r>
    </w:p>
  </w:endnote>
  <w:endnote w:type="continuationSeparator" w:id="0">
    <w:p w:rsidR="00BC1E31" w:rsidRDefault="00BC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31" w:rsidRDefault="00BC1E31">
      <w:r>
        <w:separator/>
      </w:r>
    </w:p>
  </w:footnote>
  <w:footnote w:type="continuationSeparator" w:id="0">
    <w:p w:rsidR="00BC1E31" w:rsidRDefault="00BC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B" w:rsidRDefault="00D8538D" w:rsidP="00390BEB">
    <w:pPr>
      <w:pStyle w:val="Header"/>
      <w:tabs>
        <w:tab w:val="clear" w:pos="4680"/>
        <w:tab w:val="clear" w:pos="9360"/>
      </w:tabs>
    </w:pPr>
    <w:r>
      <w:rPr>
        <w:rFonts w:ascii="Arial" w:hAnsi="Arial" w:cs="Arial"/>
        <w:b/>
        <w:i/>
        <w:lang w:val="en-PH"/>
      </w:rPr>
      <w:tab/>
    </w:r>
  </w:p>
  <w:p w:rsidR="00390BEB" w:rsidRDefault="00390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B" w:rsidRDefault="00D8538D" w:rsidP="00390BEB">
    <w:pPr>
      <w:pStyle w:val="Header"/>
      <w:tabs>
        <w:tab w:val="clear" w:pos="4680"/>
        <w:tab w:val="clear" w:pos="9360"/>
        <w:tab w:val="right" w:pos="9000"/>
      </w:tabs>
    </w:pPr>
    <w:r>
      <w:rPr>
        <w:rFonts w:ascii="Arial" w:hAnsi="Arial" w:cs="Arial"/>
        <w:i/>
      </w:rPr>
      <w:t>GOCC Letterhead</w:t>
    </w:r>
    <w:r>
      <w:rPr>
        <w:rFonts w:ascii="Arial" w:hAnsi="Arial" w:cs="Arial"/>
        <w:b/>
        <w:i/>
        <w:lang w:val="en-PH"/>
      </w:rPr>
      <w:tab/>
    </w:r>
    <w:r>
      <w:rPr>
        <w:rFonts w:ascii="Arial" w:hAnsi="Arial" w:cs="Arial"/>
        <w:b/>
      </w:rPr>
      <w:t>201</w:t>
    </w:r>
    <w:r w:rsidR="008969B5">
      <w:rPr>
        <w:rFonts w:ascii="Arial" w:hAnsi="Arial" w:cs="Arial"/>
        <w:b/>
        <w:lang w:val="en-PH"/>
      </w:rPr>
      <w:t>4</w:t>
    </w:r>
    <w:r>
      <w:rPr>
        <w:rFonts w:ascii="Arial" w:hAnsi="Arial" w:cs="Arial"/>
        <w:b/>
      </w:rPr>
      <w:t xml:space="preserve"> PBB Form </w:t>
    </w:r>
    <w:r>
      <w:rPr>
        <w:rFonts w:ascii="Arial" w:hAnsi="Arial" w:cs="Arial"/>
        <w:b/>
        <w:lang w:val="en-P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B" w:rsidRPr="008C72C7" w:rsidRDefault="00390BEB" w:rsidP="00390BEB">
    <w:pPr>
      <w:pStyle w:val="Header"/>
      <w:tabs>
        <w:tab w:val="clear" w:pos="4680"/>
        <w:tab w:val="clear" w:pos="9360"/>
        <w:tab w:val="right" w:pos="8280"/>
      </w:tabs>
      <w:rPr>
        <w:lang w:val="en-P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EB" w:rsidRDefault="00D8538D" w:rsidP="00390BEB">
    <w:pPr>
      <w:pStyle w:val="Header"/>
      <w:tabs>
        <w:tab w:val="clear" w:pos="4680"/>
      </w:tabs>
    </w:pPr>
    <w:r>
      <w:rPr>
        <w:rFonts w:ascii="Arial" w:hAnsi="Arial" w:cs="Arial"/>
        <w:i/>
      </w:rPr>
      <w:t>GOCC Letterhead</w:t>
    </w:r>
    <w:r>
      <w:rPr>
        <w:rFonts w:ascii="Arial" w:hAnsi="Arial" w:cs="Arial"/>
        <w:b/>
        <w:i/>
        <w:lang w:val="en-PH"/>
      </w:rPr>
      <w:tab/>
    </w:r>
    <w:r>
      <w:rPr>
        <w:rFonts w:ascii="Arial" w:hAnsi="Arial" w:cs="Arial"/>
        <w:b/>
      </w:rPr>
      <w:t>201</w:t>
    </w:r>
    <w:r w:rsidR="00120C83">
      <w:rPr>
        <w:rFonts w:ascii="Arial" w:hAnsi="Arial" w:cs="Arial"/>
        <w:b/>
        <w:lang w:val="en-US"/>
      </w:rPr>
      <w:t>4</w:t>
    </w:r>
    <w:r>
      <w:rPr>
        <w:rFonts w:ascii="Arial" w:hAnsi="Arial" w:cs="Arial"/>
        <w:b/>
      </w:rPr>
      <w:t xml:space="preserve"> PBB Form </w:t>
    </w:r>
    <w:r w:rsidR="00120C83">
      <w:rPr>
        <w:rFonts w:ascii="Arial" w:hAnsi="Arial" w:cs="Arial"/>
        <w:b/>
        <w:lang w:val="en-P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8B0"/>
    <w:multiLevelType w:val="hybridMultilevel"/>
    <w:tmpl w:val="FC6A3CA2"/>
    <w:lvl w:ilvl="0" w:tplc="069842A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2879719C"/>
    <w:multiLevelType w:val="hybridMultilevel"/>
    <w:tmpl w:val="6270D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215A7"/>
    <w:multiLevelType w:val="hybridMultilevel"/>
    <w:tmpl w:val="2724D360"/>
    <w:lvl w:ilvl="0" w:tplc="A65ED220">
      <w:start w:val="1"/>
      <w:numFmt w:val="lowerLetter"/>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EE022ED"/>
    <w:multiLevelType w:val="hybridMultilevel"/>
    <w:tmpl w:val="7FC425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8D"/>
    <w:rsid w:val="00003BF0"/>
    <w:rsid w:val="00007995"/>
    <w:rsid w:val="0001102A"/>
    <w:rsid w:val="000128E9"/>
    <w:rsid w:val="000175F5"/>
    <w:rsid w:val="00026203"/>
    <w:rsid w:val="000307B7"/>
    <w:rsid w:val="0003085E"/>
    <w:rsid w:val="00034B5E"/>
    <w:rsid w:val="00040520"/>
    <w:rsid w:val="00040890"/>
    <w:rsid w:val="00045A96"/>
    <w:rsid w:val="00045C36"/>
    <w:rsid w:val="00047E3F"/>
    <w:rsid w:val="00050CD3"/>
    <w:rsid w:val="000541C3"/>
    <w:rsid w:val="000558ED"/>
    <w:rsid w:val="00060418"/>
    <w:rsid w:val="00071182"/>
    <w:rsid w:val="0007254A"/>
    <w:rsid w:val="00072BE3"/>
    <w:rsid w:val="000743E7"/>
    <w:rsid w:val="00080174"/>
    <w:rsid w:val="00085028"/>
    <w:rsid w:val="00086B84"/>
    <w:rsid w:val="0009198B"/>
    <w:rsid w:val="00096DCD"/>
    <w:rsid w:val="000A00E2"/>
    <w:rsid w:val="000A58C0"/>
    <w:rsid w:val="000B3F7C"/>
    <w:rsid w:val="000B4963"/>
    <w:rsid w:val="000C20D2"/>
    <w:rsid w:val="000C2D1C"/>
    <w:rsid w:val="000C303B"/>
    <w:rsid w:val="000C30B1"/>
    <w:rsid w:val="000C31F5"/>
    <w:rsid w:val="000C4E12"/>
    <w:rsid w:val="000C6762"/>
    <w:rsid w:val="000C7937"/>
    <w:rsid w:val="000E4DE7"/>
    <w:rsid w:val="000E6E62"/>
    <w:rsid w:val="000F0BC0"/>
    <w:rsid w:val="00101C09"/>
    <w:rsid w:val="00105453"/>
    <w:rsid w:val="00110A94"/>
    <w:rsid w:val="00112FDE"/>
    <w:rsid w:val="00120C83"/>
    <w:rsid w:val="001213F1"/>
    <w:rsid w:val="00125547"/>
    <w:rsid w:val="0013100A"/>
    <w:rsid w:val="00134A42"/>
    <w:rsid w:val="00137838"/>
    <w:rsid w:val="00146004"/>
    <w:rsid w:val="00151BBB"/>
    <w:rsid w:val="00151FA0"/>
    <w:rsid w:val="001572B7"/>
    <w:rsid w:val="00161A53"/>
    <w:rsid w:val="00163187"/>
    <w:rsid w:val="0016376E"/>
    <w:rsid w:val="00164979"/>
    <w:rsid w:val="00164B90"/>
    <w:rsid w:val="00165A51"/>
    <w:rsid w:val="001713B9"/>
    <w:rsid w:val="0018331C"/>
    <w:rsid w:val="00187F8A"/>
    <w:rsid w:val="00196E72"/>
    <w:rsid w:val="001970EA"/>
    <w:rsid w:val="00197C58"/>
    <w:rsid w:val="001B4972"/>
    <w:rsid w:val="001C1993"/>
    <w:rsid w:val="001C2BE0"/>
    <w:rsid w:val="001C60B5"/>
    <w:rsid w:val="001C6459"/>
    <w:rsid w:val="001D04E4"/>
    <w:rsid w:val="001D790F"/>
    <w:rsid w:val="001E0ACE"/>
    <w:rsid w:val="001E2F32"/>
    <w:rsid w:val="001E4ED4"/>
    <w:rsid w:val="001F0D6A"/>
    <w:rsid w:val="001F68E1"/>
    <w:rsid w:val="001F7AC7"/>
    <w:rsid w:val="0020276C"/>
    <w:rsid w:val="00202EEA"/>
    <w:rsid w:val="00203ECC"/>
    <w:rsid w:val="00205435"/>
    <w:rsid w:val="00205CCD"/>
    <w:rsid w:val="002168E6"/>
    <w:rsid w:val="0022172E"/>
    <w:rsid w:val="00222DE6"/>
    <w:rsid w:val="00224EB0"/>
    <w:rsid w:val="00232BFA"/>
    <w:rsid w:val="00232EA3"/>
    <w:rsid w:val="00233983"/>
    <w:rsid w:val="00235FF7"/>
    <w:rsid w:val="00237B1A"/>
    <w:rsid w:val="00245376"/>
    <w:rsid w:val="00245998"/>
    <w:rsid w:val="00245D3F"/>
    <w:rsid w:val="00250486"/>
    <w:rsid w:val="00254BDD"/>
    <w:rsid w:val="00263205"/>
    <w:rsid w:val="0027687E"/>
    <w:rsid w:val="002800E2"/>
    <w:rsid w:val="0028661E"/>
    <w:rsid w:val="00286DE7"/>
    <w:rsid w:val="00293089"/>
    <w:rsid w:val="002939CB"/>
    <w:rsid w:val="00295FAF"/>
    <w:rsid w:val="002A22F3"/>
    <w:rsid w:val="002A2A6A"/>
    <w:rsid w:val="002A44A4"/>
    <w:rsid w:val="002B0581"/>
    <w:rsid w:val="002B105A"/>
    <w:rsid w:val="002B6AD0"/>
    <w:rsid w:val="002C2A71"/>
    <w:rsid w:val="002C30D6"/>
    <w:rsid w:val="002C65EC"/>
    <w:rsid w:val="002D07E0"/>
    <w:rsid w:val="002D7198"/>
    <w:rsid w:val="002D7C37"/>
    <w:rsid w:val="002E29AE"/>
    <w:rsid w:val="002E4C68"/>
    <w:rsid w:val="002E673E"/>
    <w:rsid w:val="002F26ED"/>
    <w:rsid w:val="002F5853"/>
    <w:rsid w:val="002F6537"/>
    <w:rsid w:val="00301FF5"/>
    <w:rsid w:val="00313B60"/>
    <w:rsid w:val="003165F8"/>
    <w:rsid w:val="0031723E"/>
    <w:rsid w:val="003205D1"/>
    <w:rsid w:val="00333579"/>
    <w:rsid w:val="00333B16"/>
    <w:rsid w:val="003429AB"/>
    <w:rsid w:val="003447E2"/>
    <w:rsid w:val="0035019A"/>
    <w:rsid w:val="0035170C"/>
    <w:rsid w:val="003531B1"/>
    <w:rsid w:val="00361A75"/>
    <w:rsid w:val="00363369"/>
    <w:rsid w:val="00363B20"/>
    <w:rsid w:val="00366479"/>
    <w:rsid w:val="00371DF4"/>
    <w:rsid w:val="0037360B"/>
    <w:rsid w:val="00375C7F"/>
    <w:rsid w:val="00375E33"/>
    <w:rsid w:val="003809F6"/>
    <w:rsid w:val="003859F1"/>
    <w:rsid w:val="00385C26"/>
    <w:rsid w:val="0038741D"/>
    <w:rsid w:val="00387F6D"/>
    <w:rsid w:val="00390BEB"/>
    <w:rsid w:val="00392B67"/>
    <w:rsid w:val="0039382C"/>
    <w:rsid w:val="00393D3E"/>
    <w:rsid w:val="003A48F0"/>
    <w:rsid w:val="003A59FD"/>
    <w:rsid w:val="003A6807"/>
    <w:rsid w:val="003B6223"/>
    <w:rsid w:val="003B747F"/>
    <w:rsid w:val="003C140C"/>
    <w:rsid w:val="003C1B6A"/>
    <w:rsid w:val="003C3839"/>
    <w:rsid w:val="003C49B8"/>
    <w:rsid w:val="003C57D0"/>
    <w:rsid w:val="003E2975"/>
    <w:rsid w:val="003E57F9"/>
    <w:rsid w:val="003F24D9"/>
    <w:rsid w:val="003F74D7"/>
    <w:rsid w:val="00404F29"/>
    <w:rsid w:val="0040549F"/>
    <w:rsid w:val="00407E1E"/>
    <w:rsid w:val="00414D6D"/>
    <w:rsid w:val="0042124B"/>
    <w:rsid w:val="00423C2C"/>
    <w:rsid w:val="00434B7A"/>
    <w:rsid w:val="00435B58"/>
    <w:rsid w:val="00436655"/>
    <w:rsid w:val="004377D0"/>
    <w:rsid w:val="00441333"/>
    <w:rsid w:val="0045016D"/>
    <w:rsid w:val="004520E0"/>
    <w:rsid w:val="00456972"/>
    <w:rsid w:val="00475E51"/>
    <w:rsid w:val="00476B6B"/>
    <w:rsid w:val="00476D1A"/>
    <w:rsid w:val="004777E0"/>
    <w:rsid w:val="00482B2B"/>
    <w:rsid w:val="004945FA"/>
    <w:rsid w:val="00495647"/>
    <w:rsid w:val="0049735B"/>
    <w:rsid w:val="004A366A"/>
    <w:rsid w:val="004A4D2F"/>
    <w:rsid w:val="004B2FCA"/>
    <w:rsid w:val="004C1738"/>
    <w:rsid w:val="004C3A25"/>
    <w:rsid w:val="004C3BAC"/>
    <w:rsid w:val="004D4651"/>
    <w:rsid w:val="004E1D31"/>
    <w:rsid w:val="004E5885"/>
    <w:rsid w:val="004E684B"/>
    <w:rsid w:val="004E6E10"/>
    <w:rsid w:val="004F06F2"/>
    <w:rsid w:val="004F36D1"/>
    <w:rsid w:val="004F483A"/>
    <w:rsid w:val="005031B1"/>
    <w:rsid w:val="005041D8"/>
    <w:rsid w:val="00504A84"/>
    <w:rsid w:val="00511CCC"/>
    <w:rsid w:val="0051427D"/>
    <w:rsid w:val="00517B0F"/>
    <w:rsid w:val="00525DB0"/>
    <w:rsid w:val="00526428"/>
    <w:rsid w:val="0052730A"/>
    <w:rsid w:val="00534278"/>
    <w:rsid w:val="005379F4"/>
    <w:rsid w:val="005401B2"/>
    <w:rsid w:val="00540876"/>
    <w:rsid w:val="00545D49"/>
    <w:rsid w:val="00552A1F"/>
    <w:rsid w:val="00553E76"/>
    <w:rsid w:val="00561CE1"/>
    <w:rsid w:val="00564155"/>
    <w:rsid w:val="005651C6"/>
    <w:rsid w:val="00565573"/>
    <w:rsid w:val="005662BF"/>
    <w:rsid w:val="00571774"/>
    <w:rsid w:val="00572041"/>
    <w:rsid w:val="00572B67"/>
    <w:rsid w:val="00573195"/>
    <w:rsid w:val="00576223"/>
    <w:rsid w:val="00576B0D"/>
    <w:rsid w:val="00582703"/>
    <w:rsid w:val="00587C23"/>
    <w:rsid w:val="005A759A"/>
    <w:rsid w:val="005B1462"/>
    <w:rsid w:val="005B6CF3"/>
    <w:rsid w:val="005C0AD7"/>
    <w:rsid w:val="005C0CE6"/>
    <w:rsid w:val="005C2158"/>
    <w:rsid w:val="005C25B2"/>
    <w:rsid w:val="005C5F32"/>
    <w:rsid w:val="005C722E"/>
    <w:rsid w:val="005D4BC0"/>
    <w:rsid w:val="005D4FA2"/>
    <w:rsid w:val="005D5DFD"/>
    <w:rsid w:val="005E086B"/>
    <w:rsid w:val="005E288D"/>
    <w:rsid w:val="005F3A76"/>
    <w:rsid w:val="005F4FDC"/>
    <w:rsid w:val="005F5908"/>
    <w:rsid w:val="005F7606"/>
    <w:rsid w:val="00600385"/>
    <w:rsid w:val="006016CF"/>
    <w:rsid w:val="00601937"/>
    <w:rsid w:val="00605AF5"/>
    <w:rsid w:val="00612A2E"/>
    <w:rsid w:val="00613C13"/>
    <w:rsid w:val="00616250"/>
    <w:rsid w:val="00620F72"/>
    <w:rsid w:val="00623A25"/>
    <w:rsid w:val="00636539"/>
    <w:rsid w:val="00644625"/>
    <w:rsid w:val="00650FF9"/>
    <w:rsid w:val="00653639"/>
    <w:rsid w:val="006538D2"/>
    <w:rsid w:val="00660235"/>
    <w:rsid w:val="00665743"/>
    <w:rsid w:val="00680890"/>
    <w:rsid w:val="00683E45"/>
    <w:rsid w:val="00692DB4"/>
    <w:rsid w:val="00693EC2"/>
    <w:rsid w:val="00696FAD"/>
    <w:rsid w:val="006A0818"/>
    <w:rsid w:val="006A7A9F"/>
    <w:rsid w:val="006B01B7"/>
    <w:rsid w:val="006B0C83"/>
    <w:rsid w:val="006B18F5"/>
    <w:rsid w:val="006B31E8"/>
    <w:rsid w:val="006C02F3"/>
    <w:rsid w:val="006C11D8"/>
    <w:rsid w:val="006C1445"/>
    <w:rsid w:val="006C3FA9"/>
    <w:rsid w:val="006E194B"/>
    <w:rsid w:val="006E3DB2"/>
    <w:rsid w:val="006F16AE"/>
    <w:rsid w:val="006F2CE5"/>
    <w:rsid w:val="006F4489"/>
    <w:rsid w:val="00700889"/>
    <w:rsid w:val="0070274B"/>
    <w:rsid w:val="0070797F"/>
    <w:rsid w:val="00712202"/>
    <w:rsid w:val="00713E99"/>
    <w:rsid w:val="00714877"/>
    <w:rsid w:val="00715BDF"/>
    <w:rsid w:val="00716D39"/>
    <w:rsid w:val="00721255"/>
    <w:rsid w:val="00725C8D"/>
    <w:rsid w:val="00730581"/>
    <w:rsid w:val="00730F7F"/>
    <w:rsid w:val="00740F13"/>
    <w:rsid w:val="00745C10"/>
    <w:rsid w:val="0074615F"/>
    <w:rsid w:val="0075182F"/>
    <w:rsid w:val="00755048"/>
    <w:rsid w:val="00757FBF"/>
    <w:rsid w:val="00761030"/>
    <w:rsid w:val="007617DF"/>
    <w:rsid w:val="00774F21"/>
    <w:rsid w:val="00781A48"/>
    <w:rsid w:val="00782700"/>
    <w:rsid w:val="007835E5"/>
    <w:rsid w:val="00785C5A"/>
    <w:rsid w:val="0078728A"/>
    <w:rsid w:val="007912FB"/>
    <w:rsid w:val="0079135A"/>
    <w:rsid w:val="00793DB2"/>
    <w:rsid w:val="00796FA0"/>
    <w:rsid w:val="007A3674"/>
    <w:rsid w:val="007A5E53"/>
    <w:rsid w:val="007B6A5C"/>
    <w:rsid w:val="007B7785"/>
    <w:rsid w:val="007B7CFF"/>
    <w:rsid w:val="007C3F58"/>
    <w:rsid w:val="007C4D0F"/>
    <w:rsid w:val="007C5822"/>
    <w:rsid w:val="007C7022"/>
    <w:rsid w:val="007E0F92"/>
    <w:rsid w:val="007E14D2"/>
    <w:rsid w:val="007E180B"/>
    <w:rsid w:val="007E6D2A"/>
    <w:rsid w:val="007E70E6"/>
    <w:rsid w:val="007E74F0"/>
    <w:rsid w:val="007F4EC6"/>
    <w:rsid w:val="007F66A2"/>
    <w:rsid w:val="00800B0D"/>
    <w:rsid w:val="008108DA"/>
    <w:rsid w:val="008145EF"/>
    <w:rsid w:val="00815A2F"/>
    <w:rsid w:val="00816C2A"/>
    <w:rsid w:val="00817B44"/>
    <w:rsid w:val="00822A3F"/>
    <w:rsid w:val="00823E62"/>
    <w:rsid w:val="0082456D"/>
    <w:rsid w:val="00832717"/>
    <w:rsid w:val="00835447"/>
    <w:rsid w:val="00836CC9"/>
    <w:rsid w:val="00840CB7"/>
    <w:rsid w:val="00843BFA"/>
    <w:rsid w:val="00853790"/>
    <w:rsid w:val="00853C55"/>
    <w:rsid w:val="00855AB2"/>
    <w:rsid w:val="00856730"/>
    <w:rsid w:val="00863A98"/>
    <w:rsid w:val="008675A3"/>
    <w:rsid w:val="00873E90"/>
    <w:rsid w:val="00880285"/>
    <w:rsid w:val="00881A01"/>
    <w:rsid w:val="00883072"/>
    <w:rsid w:val="00891B99"/>
    <w:rsid w:val="00891FC2"/>
    <w:rsid w:val="00895418"/>
    <w:rsid w:val="008969B5"/>
    <w:rsid w:val="008A39ED"/>
    <w:rsid w:val="008A401E"/>
    <w:rsid w:val="008A44E3"/>
    <w:rsid w:val="008A63A6"/>
    <w:rsid w:val="008B3614"/>
    <w:rsid w:val="008B5EB2"/>
    <w:rsid w:val="008C1F2A"/>
    <w:rsid w:val="008C5A59"/>
    <w:rsid w:val="008D3C6D"/>
    <w:rsid w:val="008D4754"/>
    <w:rsid w:val="008E0290"/>
    <w:rsid w:val="008E652D"/>
    <w:rsid w:val="008F2C54"/>
    <w:rsid w:val="008F3DEF"/>
    <w:rsid w:val="008F5DE9"/>
    <w:rsid w:val="0090320E"/>
    <w:rsid w:val="009137AC"/>
    <w:rsid w:val="009174BA"/>
    <w:rsid w:val="00917657"/>
    <w:rsid w:val="009310C5"/>
    <w:rsid w:val="00932B6F"/>
    <w:rsid w:val="00932C82"/>
    <w:rsid w:val="009358E3"/>
    <w:rsid w:val="00942108"/>
    <w:rsid w:val="0094495B"/>
    <w:rsid w:val="00946D05"/>
    <w:rsid w:val="00947489"/>
    <w:rsid w:val="0095139E"/>
    <w:rsid w:val="009520B2"/>
    <w:rsid w:val="00954296"/>
    <w:rsid w:val="00956998"/>
    <w:rsid w:val="00967443"/>
    <w:rsid w:val="0097079D"/>
    <w:rsid w:val="00975367"/>
    <w:rsid w:val="0097657B"/>
    <w:rsid w:val="00976C38"/>
    <w:rsid w:val="00987612"/>
    <w:rsid w:val="00992673"/>
    <w:rsid w:val="00993E99"/>
    <w:rsid w:val="00997FA0"/>
    <w:rsid w:val="009A07A8"/>
    <w:rsid w:val="009A2398"/>
    <w:rsid w:val="009A33C7"/>
    <w:rsid w:val="009A6D0A"/>
    <w:rsid w:val="009A775C"/>
    <w:rsid w:val="009C07D5"/>
    <w:rsid w:val="009C543E"/>
    <w:rsid w:val="009F3DC2"/>
    <w:rsid w:val="009F52E4"/>
    <w:rsid w:val="009F541A"/>
    <w:rsid w:val="009F5E86"/>
    <w:rsid w:val="00A003D2"/>
    <w:rsid w:val="00A01810"/>
    <w:rsid w:val="00A02C1B"/>
    <w:rsid w:val="00A0466C"/>
    <w:rsid w:val="00A14EAB"/>
    <w:rsid w:val="00A165F8"/>
    <w:rsid w:val="00A21FA3"/>
    <w:rsid w:val="00A2435D"/>
    <w:rsid w:val="00A2551D"/>
    <w:rsid w:val="00A2621B"/>
    <w:rsid w:val="00A30E9A"/>
    <w:rsid w:val="00A31958"/>
    <w:rsid w:val="00A31BE3"/>
    <w:rsid w:val="00A325C0"/>
    <w:rsid w:val="00A35227"/>
    <w:rsid w:val="00A4547C"/>
    <w:rsid w:val="00A47A58"/>
    <w:rsid w:val="00A53141"/>
    <w:rsid w:val="00A53F43"/>
    <w:rsid w:val="00A54A4A"/>
    <w:rsid w:val="00A60A72"/>
    <w:rsid w:val="00A64646"/>
    <w:rsid w:val="00A66EFA"/>
    <w:rsid w:val="00A67C09"/>
    <w:rsid w:val="00A70332"/>
    <w:rsid w:val="00A76546"/>
    <w:rsid w:val="00A767D8"/>
    <w:rsid w:val="00A81DAC"/>
    <w:rsid w:val="00A84C70"/>
    <w:rsid w:val="00A901E6"/>
    <w:rsid w:val="00A95BAF"/>
    <w:rsid w:val="00A96E77"/>
    <w:rsid w:val="00AA3988"/>
    <w:rsid w:val="00AA5399"/>
    <w:rsid w:val="00AB425B"/>
    <w:rsid w:val="00AB78A1"/>
    <w:rsid w:val="00AC1F12"/>
    <w:rsid w:val="00AC23BA"/>
    <w:rsid w:val="00AC5F39"/>
    <w:rsid w:val="00AC7800"/>
    <w:rsid w:val="00AD5647"/>
    <w:rsid w:val="00AE0012"/>
    <w:rsid w:val="00AE2483"/>
    <w:rsid w:val="00AE2623"/>
    <w:rsid w:val="00AF042B"/>
    <w:rsid w:val="00AF4057"/>
    <w:rsid w:val="00B03992"/>
    <w:rsid w:val="00B05DEF"/>
    <w:rsid w:val="00B05F68"/>
    <w:rsid w:val="00B07981"/>
    <w:rsid w:val="00B079BC"/>
    <w:rsid w:val="00B10416"/>
    <w:rsid w:val="00B20541"/>
    <w:rsid w:val="00B21134"/>
    <w:rsid w:val="00B25568"/>
    <w:rsid w:val="00B2581D"/>
    <w:rsid w:val="00B30D7E"/>
    <w:rsid w:val="00B32B64"/>
    <w:rsid w:val="00B37706"/>
    <w:rsid w:val="00B3791F"/>
    <w:rsid w:val="00B43E44"/>
    <w:rsid w:val="00B460BA"/>
    <w:rsid w:val="00B52214"/>
    <w:rsid w:val="00B55A32"/>
    <w:rsid w:val="00B57F38"/>
    <w:rsid w:val="00B67BD7"/>
    <w:rsid w:val="00B70699"/>
    <w:rsid w:val="00B728CF"/>
    <w:rsid w:val="00B733A3"/>
    <w:rsid w:val="00B753D2"/>
    <w:rsid w:val="00B8711C"/>
    <w:rsid w:val="00B96F1D"/>
    <w:rsid w:val="00BA0130"/>
    <w:rsid w:val="00BA517B"/>
    <w:rsid w:val="00BA59C3"/>
    <w:rsid w:val="00BB3BD5"/>
    <w:rsid w:val="00BB4CF9"/>
    <w:rsid w:val="00BC1E31"/>
    <w:rsid w:val="00BC585F"/>
    <w:rsid w:val="00BD1FFB"/>
    <w:rsid w:val="00BD35E2"/>
    <w:rsid w:val="00BD4AA0"/>
    <w:rsid w:val="00BE02FB"/>
    <w:rsid w:val="00BE1FE5"/>
    <w:rsid w:val="00BE20D2"/>
    <w:rsid w:val="00BE2EC6"/>
    <w:rsid w:val="00BE3673"/>
    <w:rsid w:val="00BE3ECA"/>
    <w:rsid w:val="00BE506D"/>
    <w:rsid w:val="00C00DD8"/>
    <w:rsid w:val="00C028E0"/>
    <w:rsid w:val="00C106AA"/>
    <w:rsid w:val="00C2028D"/>
    <w:rsid w:val="00C2034B"/>
    <w:rsid w:val="00C2324D"/>
    <w:rsid w:val="00C236BA"/>
    <w:rsid w:val="00C26662"/>
    <w:rsid w:val="00C32AA2"/>
    <w:rsid w:val="00C32BB6"/>
    <w:rsid w:val="00C339E8"/>
    <w:rsid w:val="00C373C4"/>
    <w:rsid w:val="00C37FF1"/>
    <w:rsid w:val="00C41878"/>
    <w:rsid w:val="00C51EAE"/>
    <w:rsid w:val="00C5718A"/>
    <w:rsid w:val="00C61D49"/>
    <w:rsid w:val="00C66B9D"/>
    <w:rsid w:val="00C66D9D"/>
    <w:rsid w:val="00C70046"/>
    <w:rsid w:val="00C70966"/>
    <w:rsid w:val="00C779CA"/>
    <w:rsid w:val="00C82877"/>
    <w:rsid w:val="00C82C7C"/>
    <w:rsid w:val="00C863D1"/>
    <w:rsid w:val="00C92586"/>
    <w:rsid w:val="00C9281B"/>
    <w:rsid w:val="00C96245"/>
    <w:rsid w:val="00CA31C4"/>
    <w:rsid w:val="00CA6B1B"/>
    <w:rsid w:val="00CB3248"/>
    <w:rsid w:val="00CB6717"/>
    <w:rsid w:val="00CC1CB7"/>
    <w:rsid w:val="00CC3718"/>
    <w:rsid w:val="00CD3717"/>
    <w:rsid w:val="00CD5007"/>
    <w:rsid w:val="00CD63B1"/>
    <w:rsid w:val="00CD67D0"/>
    <w:rsid w:val="00CE1EB4"/>
    <w:rsid w:val="00CE5B8C"/>
    <w:rsid w:val="00CF2FB6"/>
    <w:rsid w:val="00CF4077"/>
    <w:rsid w:val="00CF5E95"/>
    <w:rsid w:val="00D00D0A"/>
    <w:rsid w:val="00D06308"/>
    <w:rsid w:val="00D06D6A"/>
    <w:rsid w:val="00D1219E"/>
    <w:rsid w:val="00D14C19"/>
    <w:rsid w:val="00D1654D"/>
    <w:rsid w:val="00D2023D"/>
    <w:rsid w:val="00D248D9"/>
    <w:rsid w:val="00D27C01"/>
    <w:rsid w:val="00D31AEF"/>
    <w:rsid w:val="00D342A8"/>
    <w:rsid w:val="00D42258"/>
    <w:rsid w:val="00D449FE"/>
    <w:rsid w:val="00D57CBE"/>
    <w:rsid w:val="00D614E2"/>
    <w:rsid w:val="00D67749"/>
    <w:rsid w:val="00D710BB"/>
    <w:rsid w:val="00D755E2"/>
    <w:rsid w:val="00D8538D"/>
    <w:rsid w:val="00D91389"/>
    <w:rsid w:val="00D91F9E"/>
    <w:rsid w:val="00D92A8C"/>
    <w:rsid w:val="00D92BB0"/>
    <w:rsid w:val="00DA27B5"/>
    <w:rsid w:val="00DA4088"/>
    <w:rsid w:val="00DA4EDF"/>
    <w:rsid w:val="00DA77E6"/>
    <w:rsid w:val="00DA7E4E"/>
    <w:rsid w:val="00DB2739"/>
    <w:rsid w:val="00DB4DC2"/>
    <w:rsid w:val="00DC109B"/>
    <w:rsid w:val="00DC3867"/>
    <w:rsid w:val="00DC3E6B"/>
    <w:rsid w:val="00DC5BDF"/>
    <w:rsid w:val="00DC62A4"/>
    <w:rsid w:val="00DD541F"/>
    <w:rsid w:val="00DD62F2"/>
    <w:rsid w:val="00DD768E"/>
    <w:rsid w:val="00DE035D"/>
    <w:rsid w:val="00DE081F"/>
    <w:rsid w:val="00DE2712"/>
    <w:rsid w:val="00DE7941"/>
    <w:rsid w:val="00DF0E6E"/>
    <w:rsid w:val="00E026EC"/>
    <w:rsid w:val="00E1180D"/>
    <w:rsid w:val="00E148B8"/>
    <w:rsid w:val="00E20519"/>
    <w:rsid w:val="00E22839"/>
    <w:rsid w:val="00E23029"/>
    <w:rsid w:val="00E23632"/>
    <w:rsid w:val="00E25D35"/>
    <w:rsid w:val="00E26DC3"/>
    <w:rsid w:val="00E30E56"/>
    <w:rsid w:val="00E315E3"/>
    <w:rsid w:val="00E32D76"/>
    <w:rsid w:val="00E35D4D"/>
    <w:rsid w:val="00E374B0"/>
    <w:rsid w:val="00E43086"/>
    <w:rsid w:val="00E43CE8"/>
    <w:rsid w:val="00E44198"/>
    <w:rsid w:val="00E50E33"/>
    <w:rsid w:val="00E60D7B"/>
    <w:rsid w:val="00E66F94"/>
    <w:rsid w:val="00E74151"/>
    <w:rsid w:val="00E76598"/>
    <w:rsid w:val="00E81E9F"/>
    <w:rsid w:val="00E83359"/>
    <w:rsid w:val="00E869A9"/>
    <w:rsid w:val="00E9255F"/>
    <w:rsid w:val="00E92F2A"/>
    <w:rsid w:val="00E931BC"/>
    <w:rsid w:val="00E9361C"/>
    <w:rsid w:val="00E9571F"/>
    <w:rsid w:val="00E95CC5"/>
    <w:rsid w:val="00EA08A5"/>
    <w:rsid w:val="00EA2527"/>
    <w:rsid w:val="00EA6569"/>
    <w:rsid w:val="00EB3436"/>
    <w:rsid w:val="00EB4E90"/>
    <w:rsid w:val="00EB618C"/>
    <w:rsid w:val="00EB782E"/>
    <w:rsid w:val="00EC2261"/>
    <w:rsid w:val="00EC4ED9"/>
    <w:rsid w:val="00EC5CAE"/>
    <w:rsid w:val="00EC6B92"/>
    <w:rsid w:val="00EE7070"/>
    <w:rsid w:val="00EE79C8"/>
    <w:rsid w:val="00EF629E"/>
    <w:rsid w:val="00F00C8B"/>
    <w:rsid w:val="00F04847"/>
    <w:rsid w:val="00F06ED8"/>
    <w:rsid w:val="00F1474B"/>
    <w:rsid w:val="00F2321F"/>
    <w:rsid w:val="00F239D9"/>
    <w:rsid w:val="00F32C99"/>
    <w:rsid w:val="00F32D16"/>
    <w:rsid w:val="00F34C5A"/>
    <w:rsid w:val="00F368A6"/>
    <w:rsid w:val="00F411E7"/>
    <w:rsid w:val="00F416B5"/>
    <w:rsid w:val="00F44B12"/>
    <w:rsid w:val="00F518ED"/>
    <w:rsid w:val="00F525C9"/>
    <w:rsid w:val="00F53FE4"/>
    <w:rsid w:val="00F562A6"/>
    <w:rsid w:val="00F61CAC"/>
    <w:rsid w:val="00F622CE"/>
    <w:rsid w:val="00F63446"/>
    <w:rsid w:val="00F63F59"/>
    <w:rsid w:val="00F64E99"/>
    <w:rsid w:val="00F6595E"/>
    <w:rsid w:val="00F70915"/>
    <w:rsid w:val="00F71B14"/>
    <w:rsid w:val="00F71EEA"/>
    <w:rsid w:val="00F74596"/>
    <w:rsid w:val="00F75CB2"/>
    <w:rsid w:val="00F772AC"/>
    <w:rsid w:val="00F77912"/>
    <w:rsid w:val="00F81E7A"/>
    <w:rsid w:val="00F90448"/>
    <w:rsid w:val="00F9157F"/>
    <w:rsid w:val="00F929E0"/>
    <w:rsid w:val="00FA00A2"/>
    <w:rsid w:val="00FA417E"/>
    <w:rsid w:val="00FB3097"/>
    <w:rsid w:val="00FB31B9"/>
    <w:rsid w:val="00FC12E6"/>
    <w:rsid w:val="00FC17B6"/>
    <w:rsid w:val="00FD035C"/>
    <w:rsid w:val="00FD3C5B"/>
    <w:rsid w:val="00FD479F"/>
    <w:rsid w:val="00FD4C81"/>
    <w:rsid w:val="00FE0C67"/>
    <w:rsid w:val="00FE6714"/>
    <w:rsid w:val="00FE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38D"/>
    <w:pPr>
      <w:ind w:left="720"/>
      <w:contextualSpacing/>
    </w:pPr>
  </w:style>
  <w:style w:type="paragraph" w:styleId="ListParagraph">
    <w:name w:val="List Paragraph"/>
    <w:basedOn w:val="Normal"/>
    <w:uiPriority w:val="34"/>
    <w:qFormat/>
    <w:rsid w:val="00D8538D"/>
    <w:pPr>
      <w:ind w:left="720"/>
    </w:pPr>
  </w:style>
  <w:style w:type="paragraph" w:styleId="Header">
    <w:name w:val="header"/>
    <w:basedOn w:val="Normal"/>
    <w:link w:val="HeaderChar"/>
    <w:uiPriority w:val="99"/>
    <w:unhideWhenUsed/>
    <w:rsid w:val="00D8538D"/>
    <w:pPr>
      <w:tabs>
        <w:tab w:val="center" w:pos="4680"/>
        <w:tab w:val="right" w:pos="9360"/>
      </w:tabs>
    </w:pPr>
    <w:rPr>
      <w:lang/>
    </w:rPr>
  </w:style>
  <w:style w:type="character" w:customStyle="1" w:styleId="HeaderChar">
    <w:name w:val="Header Char"/>
    <w:link w:val="Header"/>
    <w:uiPriority w:val="99"/>
    <w:rsid w:val="00D8538D"/>
    <w:rPr>
      <w:rFonts w:ascii="Times New Roman" w:eastAsia="Times New Roman" w:hAnsi="Times New Roman" w:cs="Times New Roman"/>
      <w:sz w:val="24"/>
      <w:szCs w:val="24"/>
      <w:lang/>
    </w:rPr>
  </w:style>
  <w:style w:type="paragraph" w:styleId="Footer">
    <w:name w:val="footer"/>
    <w:basedOn w:val="Normal"/>
    <w:link w:val="FooterChar"/>
    <w:uiPriority w:val="99"/>
    <w:unhideWhenUsed/>
    <w:rsid w:val="008969B5"/>
    <w:pPr>
      <w:tabs>
        <w:tab w:val="center" w:pos="4680"/>
        <w:tab w:val="right" w:pos="9360"/>
      </w:tabs>
    </w:pPr>
  </w:style>
  <w:style w:type="character" w:customStyle="1" w:styleId="FooterChar">
    <w:name w:val="Footer Char"/>
    <w:link w:val="Footer"/>
    <w:uiPriority w:val="99"/>
    <w:rsid w:val="008969B5"/>
    <w:rPr>
      <w:rFonts w:ascii="Times New Roman" w:eastAsia="Times New Roman" w:hAnsi="Times New Roman"/>
      <w:sz w:val="24"/>
      <w:szCs w:val="24"/>
      <w:lang w:val="en-US" w:eastAsia="en-US"/>
    </w:rPr>
  </w:style>
  <w:style w:type="character" w:customStyle="1" w:styleId="Arial11">
    <w:name w:val="Arial 11"/>
    <w:uiPriority w:val="1"/>
    <w:rsid w:val="00DA7E4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38D"/>
    <w:pPr>
      <w:ind w:left="720"/>
      <w:contextualSpacing/>
    </w:pPr>
  </w:style>
  <w:style w:type="paragraph" w:styleId="ListParagraph">
    <w:name w:val="List Paragraph"/>
    <w:basedOn w:val="Normal"/>
    <w:uiPriority w:val="34"/>
    <w:qFormat/>
    <w:rsid w:val="00D8538D"/>
    <w:pPr>
      <w:ind w:left="720"/>
    </w:pPr>
  </w:style>
  <w:style w:type="paragraph" w:styleId="Header">
    <w:name w:val="header"/>
    <w:basedOn w:val="Normal"/>
    <w:link w:val="HeaderChar"/>
    <w:uiPriority w:val="99"/>
    <w:unhideWhenUsed/>
    <w:rsid w:val="00D8538D"/>
    <w:pPr>
      <w:tabs>
        <w:tab w:val="center" w:pos="4680"/>
        <w:tab w:val="right" w:pos="9360"/>
      </w:tabs>
    </w:pPr>
    <w:rPr>
      <w:lang/>
    </w:rPr>
  </w:style>
  <w:style w:type="character" w:customStyle="1" w:styleId="HeaderChar">
    <w:name w:val="Header Char"/>
    <w:link w:val="Header"/>
    <w:uiPriority w:val="99"/>
    <w:rsid w:val="00D8538D"/>
    <w:rPr>
      <w:rFonts w:ascii="Times New Roman" w:eastAsia="Times New Roman" w:hAnsi="Times New Roman" w:cs="Times New Roman"/>
      <w:sz w:val="24"/>
      <w:szCs w:val="24"/>
      <w:lang/>
    </w:rPr>
  </w:style>
  <w:style w:type="paragraph" w:styleId="Footer">
    <w:name w:val="footer"/>
    <w:basedOn w:val="Normal"/>
    <w:link w:val="FooterChar"/>
    <w:uiPriority w:val="99"/>
    <w:unhideWhenUsed/>
    <w:rsid w:val="008969B5"/>
    <w:pPr>
      <w:tabs>
        <w:tab w:val="center" w:pos="4680"/>
        <w:tab w:val="right" w:pos="9360"/>
      </w:tabs>
    </w:pPr>
  </w:style>
  <w:style w:type="character" w:customStyle="1" w:styleId="FooterChar">
    <w:name w:val="Footer Char"/>
    <w:link w:val="Footer"/>
    <w:uiPriority w:val="99"/>
    <w:rsid w:val="008969B5"/>
    <w:rPr>
      <w:rFonts w:ascii="Times New Roman" w:eastAsia="Times New Roman" w:hAnsi="Times New Roman"/>
      <w:sz w:val="24"/>
      <w:szCs w:val="24"/>
      <w:lang w:val="en-US" w:eastAsia="en-US"/>
    </w:rPr>
  </w:style>
  <w:style w:type="character" w:customStyle="1" w:styleId="Arial11">
    <w:name w:val="Arial 11"/>
    <w:uiPriority w:val="1"/>
    <w:rsid w:val="00DA7E4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Paolo Raynor E. Salvosa</cp:lastModifiedBy>
  <cp:revision>2</cp:revision>
  <dcterms:created xsi:type="dcterms:W3CDTF">2014-11-27T08:03:00Z</dcterms:created>
  <dcterms:modified xsi:type="dcterms:W3CDTF">2014-11-27T08:03:00Z</dcterms:modified>
</cp:coreProperties>
</file>